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pPr>
    </w:p>
    <w:p>
      <w:pPr>
        <w:widowControl/>
        <w:jc w:val="left"/>
      </w:pPr>
    </w:p>
    <w:p>
      <w:pPr>
        <w:widowControl/>
        <w:jc w:val="center"/>
        <w:rPr>
          <w:rFonts w:ascii="黑体" w:hAnsi="黑体" w:eastAsia="黑体"/>
          <w:b/>
          <w:sz w:val="52"/>
          <w:szCs w:val="52"/>
        </w:rPr>
      </w:pPr>
    </w:p>
    <w:p>
      <w:pPr>
        <w:widowControl/>
        <w:jc w:val="center"/>
        <w:rPr>
          <w:rFonts w:ascii="黑体" w:hAnsi="黑体" w:eastAsia="黑体"/>
          <w:b/>
          <w:sz w:val="52"/>
          <w:szCs w:val="52"/>
        </w:rPr>
      </w:pPr>
    </w:p>
    <w:p/>
    <w:p>
      <w:pPr>
        <w:jc w:val="center"/>
        <w:rPr>
          <w:rFonts w:ascii="黑体" w:hAnsi="黑体" w:eastAsia="黑体"/>
          <w:b/>
          <w:bCs/>
          <w:sz w:val="44"/>
          <w:szCs w:val="44"/>
        </w:rPr>
      </w:pPr>
      <w:r>
        <w:rPr>
          <w:rFonts w:ascii="黑体" w:hAnsi="黑体" w:eastAsia="黑体"/>
          <w:b/>
          <w:bCs/>
          <w:sz w:val="44"/>
          <w:szCs w:val="44"/>
        </w:rPr>
        <w:t>Sangfor Ransomware Solution</w:t>
      </w:r>
    </w:p>
    <w:p>
      <w:pPr>
        <w:widowControl/>
        <w:jc w:val="center"/>
        <w:rPr>
          <w:rFonts w:ascii="黑体" w:hAnsi="黑体" w:eastAsia="黑体"/>
          <w:b/>
          <w:sz w:val="52"/>
          <w:szCs w:val="52"/>
        </w:rPr>
      </w:pPr>
    </w:p>
    <w:p>
      <w:pPr>
        <w:widowControl/>
        <w:jc w:val="center"/>
        <w:rPr>
          <w:rFonts w:ascii="黑体" w:hAnsi="黑体" w:eastAsia="黑体"/>
          <w:b/>
          <w:sz w:val="52"/>
          <w:szCs w:val="52"/>
        </w:rPr>
      </w:pPr>
    </w:p>
    <w:p>
      <w:pPr>
        <w:widowControl/>
        <w:jc w:val="center"/>
        <w:rPr>
          <w:rFonts w:ascii="黑体" w:hAnsi="黑体" w:eastAsia="黑体"/>
          <w:b/>
          <w:sz w:val="52"/>
          <w:szCs w:val="52"/>
        </w:rPr>
      </w:pPr>
    </w:p>
    <w:p>
      <w:pPr>
        <w:widowControl/>
        <w:jc w:val="center"/>
        <w:rPr>
          <w:rFonts w:ascii="黑体" w:hAnsi="黑体" w:eastAsia="黑体"/>
          <w:b/>
          <w:sz w:val="52"/>
          <w:szCs w:val="52"/>
        </w:rPr>
      </w:pPr>
    </w:p>
    <w:p>
      <w:pPr>
        <w:widowControl/>
        <w:jc w:val="center"/>
        <w:rPr>
          <w:rFonts w:ascii="黑体" w:hAnsi="黑体" w:eastAsia="黑体"/>
          <w:b/>
          <w:sz w:val="52"/>
          <w:szCs w:val="52"/>
        </w:rPr>
      </w:pPr>
    </w:p>
    <w:p>
      <w:pPr>
        <w:widowControl/>
        <w:jc w:val="center"/>
        <w:rPr>
          <w:rFonts w:ascii="Times New Roman" w:hAnsi="Times New Roman"/>
          <w:sz w:val="36"/>
          <w:szCs w:val="36"/>
        </w:rPr>
      </w:pPr>
      <w:r>
        <w:rPr>
          <w:rFonts w:ascii="Times New Roman" w:hAnsi="Times New Roman"/>
          <w:sz w:val="36"/>
          <w:szCs w:val="36"/>
        </w:rPr>
        <w:t>Sangfor Technologies</w:t>
      </w:r>
    </w:p>
    <w:p>
      <w:pPr>
        <w:widowControl/>
        <w:spacing w:line="240" w:lineRule="auto"/>
        <w:jc w:val="left"/>
        <w:rPr>
          <w:rFonts w:ascii="宋体" w:hAnsi="宋体" w:eastAsia="宋体"/>
          <w:b/>
          <w:sz w:val="36"/>
          <w:szCs w:val="52"/>
        </w:rPr>
      </w:pPr>
      <w:r>
        <w:rPr>
          <w:rFonts w:ascii="宋体" w:hAnsi="宋体" w:eastAsia="宋体"/>
          <w:b/>
          <w:sz w:val="36"/>
          <w:szCs w:val="52"/>
        </w:rPr>
        <w:br w:type="page"/>
      </w:r>
    </w:p>
    <w:p>
      <w:pPr>
        <w:rPr>
          <w:rFonts w:ascii="Times New Roman" w:hAnsi="Times New Roman"/>
          <w:b/>
        </w:rPr>
      </w:pPr>
      <w:bookmarkStart w:id="0" w:name="_Toc4034"/>
      <w:r>
        <w:rPr>
          <w:rFonts w:ascii="Times New Roman" w:hAnsi="Times New Roman"/>
          <w:b/>
        </w:rPr>
        <w:t>Purpose of Document</w:t>
      </w:r>
    </w:p>
    <w:p>
      <w:pPr>
        <w:rPr>
          <w:rFonts w:ascii="Times New Roman" w:hAnsi="Times New Roman"/>
        </w:rPr>
      </w:pPr>
      <w:r>
        <w:rPr>
          <w:rFonts w:ascii="Times New Roman" w:hAnsi="Times New Roman"/>
        </w:rPr>
        <w:t xml:space="preserve">This document provides a Sangfor Technologies solution proposal </w:t>
      </w:r>
      <w:bookmarkStart w:id="54" w:name="_GoBack"/>
      <w:bookmarkEnd w:id="54"/>
      <w:r>
        <w:rPr>
          <w:rFonts w:ascii="Times New Roman" w:hAnsi="Times New Roman"/>
        </w:rPr>
        <w:t>, including solution highlights and product descriptions.</w:t>
      </w:r>
    </w:p>
    <w:p>
      <w:pPr>
        <w:rPr>
          <w:rFonts w:ascii="Times New Roman" w:hAnsi="Times New Roman"/>
          <w:b/>
        </w:rPr>
      </w:pPr>
      <w:r>
        <w:rPr>
          <w:rFonts w:ascii="Times New Roman" w:hAnsi="Times New Roman"/>
          <w:b/>
        </w:rPr>
        <w:t>Document Information</w:t>
      </w:r>
    </w:p>
    <w:p>
      <w:pPr>
        <w:rPr>
          <w:rFonts w:ascii="Times New Roman" w:hAnsi="Times New Roman"/>
        </w:rPr>
      </w:pPr>
      <w:r>
        <w:rPr>
          <w:rFonts w:ascii="Times New Roman" w:hAnsi="Times New Roman"/>
        </w:rPr>
        <w:t>Author:</w:t>
      </w:r>
      <w:r>
        <w:rPr>
          <w:rFonts w:ascii="Times New Roman" w:hAnsi="Times New Roman"/>
        </w:rPr>
        <w:tab/>
      </w:r>
      <w:r>
        <w:rPr>
          <w:rFonts w:ascii="Times New Roman" w:hAnsi="Times New Roman"/>
        </w:rPr>
        <w:tab/>
      </w:r>
      <w:r>
        <w:rPr>
          <w:rFonts w:ascii="Times New Roman" w:hAnsi="Times New Roman"/>
        </w:rPr>
        <w:t xml:space="preserve">Fan Yue </w:t>
      </w:r>
    </w:p>
    <w:p>
      <w:pPr>
        <w:rPr>
          <w:rFonts w:ascii="Times New Roman" w:hAnsi="Times New Roman"/>
        </w:rPr>
      </w:pPr>
      <w:r>
        <w:rPr>
          <w:rFonts w:ascii="Times New Roman" w:hAnsi="Times New Roman"/>
        </w:rPr>
        <w:t>Creation Date:</w:t>
      </w:r>
      <w:r>
        <w:rPr>
          <w:rFonts w:ascii="Times New Roman" w:hAnsi="Times New Roman"/>
        </w:rPr>
        <w:tab/>
      </w:r>
      <w:r>
        <w:rPr>
          <w:rFonts w:ascii="Times New Roman" w:hAnsi="Times New Roman"/>
        </w:rPr>
        <w:t>4</w:t>
      </w:r>
      <w:r>
        <w:rPr>
          <w:rFonts w:ascii="Times New Roman" w:hAnsi="Times New Roman"/>
          <w:vertAlign w:val="superscript"/>
        </w:rPr>
        <w:t>th</w:t>
      </w:r>
      <w:r>
        <w:rPr>
          <w:rFonts w:ascii="Times New Roman" w:hAnsi="Times New Roman"/>
        </w:rPr>
        <w:t xml:space="preserve"> March 2021</w:t>
      </w:r>
    </w:p>
    <w:p>
      <w:pPr>
        <w:rPr>
          <w:rFonts w:ascii="Times New Roman" w:hAnsi="Times New Roman"/>
        </w:rPr>
      </w:pPr>
      <w:r>
        <w:rPr>
          <w:rFonts w:ascii="Times New Roman" w:hAnsi="Times New Roman"/>
        </w:rPr>
        <w:t>Last Updated:</w:t>
      </w:r>
      <w:r>
        <w:rPr>
          <w:rFonts w:ascii="Times New Roman" w:hAnsi="Times New Roman"/>
        </w:rPr>
        <w:tab/>
      </w:r>
    </w:p>
    <w:p>
      <w:pPr>
        <w:rPr>
          <w:rFonts w:ascii="Times New Roman" w:hAnsi="Times New Roman"/>
        </w:rPr>
      </w:pPr>
      <w:r>
        <w:rPr>
          <w:rFonts w:ascii="Times New Roman" w:hAnsi="Times New Roman"/>
        </w:rPr>
        <w:t>Version:</w:t>
      </w:r>
      <w:r>
        <w:rPr>
          <w:rFonts w:ascii="Times New Roman" w:hAnsi="Times New Roman"/>
        </w:rPr>
        <w:tab/>
      </w:r>
      <w:r>
        <w:rPr>
          <w:rFonts w:ascii="Times New Roman" w:hAnsi="Times New Roman"/>
        </w:rPr>
        <w:tab/>
      </w:r>
    </w:p>
    <w:p>
      <w:pPr>
        <w:rPr>
          <w:rFonts w:ascii="Times New Roman" w:hAnsi="Times New Roman"/>
          <w:b/>
        </w:rPr>
      </w:pPr>
      <w:r>
        <w:rPr>
          <w:rFonts w:ascii="Times New Roman" w:hAnsi="Times New Roman"/>
          <w:b/>
        </w:rPr>
        <w:t>Revision History</w:t>
      </w:r>
    </w:p>
    <w:tbl>
      <w:tblPr>
        <w:tblStyle w:val="31"/>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1745"/>
        <w:gridCol w:w="4089"/>
        <w:gridCol w:w="1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8"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rPr>
                <w:rFonts w:ascii="Times New Roman" w:hAnsi="Times New Roman"/>
                <w:sz w:val="24"/>
                <w:szCs w:val="24"/>
                <w:lang w:eastAsia="en-US"/>
              </w:rPr>
            </w:pPr>
            <w:r>
              <w:rPr>
                <w:rFonts w:ascii="Times New Roman" w:hAnsi="Times New Roman"/>
                <w:sz w:val="24"/>
                <w:szCs w:val="24"/>
                <w:lang w:eastAsia="en-US"/>
              </w:rPr>
              <w:t>Date</w:t>
            </w:r>
          </w:p>
        </w:tc>
        <w:tc>
          <w:tcPr>
            <w:tcW w:w="174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rPr>
                <w:rFonts w:ascii="Times New Roman" w:hAnsi="Times New Roman"/>
                <w:sz w:val="24"/>
                <w:szCs w:val="24"/>
                <w:lang w:eastAsia="en-US"/>
              </w:rPr>
            </w:pPr>
            <w:r>
              <w:rPr>
                <w:rFonts w:ascii="Times New Roman" w:hAnsi="Times New Roman"/>
                <w:sz w:val="24"/>
                <w:szCs w:val="24"/>
                <w:lang w:eastAsia="en-US"/>
              </w:rPr>
              <w:t>Author</w:t>
            </w:r>
          </w:p>
        </w:tc>
        <w:tc>
          <w:tcPr>
            <w:tcW w:w="4089"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rPr>
                <w:rFonts w:ascii="Times New Roman" w:hAnsi="Times New Roman"/>
                <w:sz w:val="24"/>
                <w:szCs w:val="24"/>
                <w:lang w:eastAsia="en-US"/>
              </w:rPr>
            </w:pPr>
            <w:r>
              <w:rPr>
                <w:rFonts w:ascii="Times New Roman" w:hAnsi="Times New Roman"/>
                <w:sz w:val="24"/>
                <w:szCs w:val="24"/>
                <w:lang w:eastAsia="en-US"/>
              </w:rPr>
              <w:t>Summary of Changes</w:t>
            </w:r>
          </w:p>
        </w:tc>
        <w:tc>
          <w:tcPr>
            <w:tcW w:w="114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rPr>
                <w:rFonts w:ascii="Times New Roman" w:hAnsi="Times New Roman"/>
                <w:sz w:val="24"/>
                <w:szCs w:val="24"/>
                <w:lang w:eastAsia="en-US"/>
              </w:rPr>
            </w:pPr>
            <w:r>
              <w:rPr>
                <w:rFonts w:ascii="Times New Roman" w:hAnsi="Times New Roman"/>
                <w:sz w:val="24"/>
                <w:szCs w:val="24"/>
                <w:lang w:eastAsia="en-US"/>
              </w:rPr>
              <w:t>Version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8"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4/3/2021</w:t>
            </w:r>
          </w:p>
        </w:tc>
        <w:tc>
          <w:tcPr>
            <w:tcW w:w="1745"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Fan Yue</w:t>
            </w:r>
          </w:p>
        </w:tc>
        <w:tc>
          <w:tcPr>
            <w:tcW w:w="4089"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1</w:t>
            </w:r>
            <w:r>
              <w:rPr>
                <w:rFonts w:ascii="Times New Roman" w:hAnsi="Times New Roman"/>
                <w:sz w:val="24"/>
                <w:szCs w:val="24"/>
                <w:vertAlign w:val="superscript"/>
                <w:lang w:eastAsia="en-US"/>
              </w:rPr>
              <w:t>st</w:t>
            </w:r>
            <w:r>
              <w:rPr>
                <w:rFonts w:ascii="Times New Roman" w:hAnsi="Times New Roman"/>
                <w:sz w:val="24"/>
                <w:szCs w:val="24"/>
                <w:lang w:eastAsia="en-US"/>
              </w:rPr>
              <w:t xml:space="preserve"> revision</w:t>
            </w:r>
          </w:p>
        </w:tc>
        <w:tc>
          <w:tcPr>
            <w:tcW w:w="1142"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8"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8/3/2021</w:t>
            </w:r>
          </w:p>
        </w:tc>
        <w:tc>
          <w:tcPr>
            <w:tcW w:w="1745"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Greta</w:t>
            </w:r>
          </w:p>
        </w:tc>
        <w:tc>
          <w:tcPr>
            <w:tcW w:w="4089"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2</w:t>
            </w:r>
            <w:r>
              <w:rPr>
                <w:rFonts w:ascii="Times New Roman" w:hAnsi="Times New Roman"/>
                <w:sz w:val="24"/>
                <w:szCs w:val="24"/>
                <w:vertAlign w:val="superscript"/>
                <w:lang w:eastAsia="en-US"/>
              </w:rPr>
              <w:t>nd</w:t>
            </w:r>
            <w:r>
              <w:rPr>
                <w:rFonts w:ascii="Times New Roman" w:hAnsi="Times New Roman"/>
                <w:sz w:val="24"/>
                <w:szCs w:val="24"/>
                <w:lang w:eastAsia="en-US"/>
              </w:rPr>
              <w:t xml:space="preserve"> revision</w:t>
            </w:r>
          </w:p>
        </w:tc>
        <w:tc>
          <w:tcPr>
            <w:tcW w:w="1142" w:type="dxa"/>
            <w:tcBorders>
              <w:top w:val="single" w:color="auto" w:sz="4" w:space="0"/>
              <w:left w:val="single" w:color="auto" w:sz="4" w:space="0"/>
              <w:bottom w:val="single" w:color="auto" w:sz="4" w:space="0"/>
              <w:right w:val="single" w:color="auto" w:sz="4" w:space="0"/>
            </w:tcBorders>
          </w:tcPr>
          <w:p>
            <w:pPr>
              <w:spacing w:after="0"/>
              <w:rPr>
                <w:rFonts w:ascii="Times New Roman" w:hAnsi="Times New Roman"/>
                <w:sz w:val="24"/>
                <w:szCs w:val="24"/>
                <w:lang w:eastAsia="en-US"/>
              </w:rPr>
            </w:pPr>
            <w:r>
              <w:rPr>
                <w:rFonts w:ascii="Times New Roman" w:hAnsi="Times New Roman"/>
                <w:sz w:val="24"/>
                <w:szCs w:val="24"/>
                <w:lang w:eastAsia="en-US"/>
              </w:rPr>
              <w:t>2</w:t>
            </w:r>
          </w:p>
        </w:tc>
      </w:tr>
    </w:tbl>
    <w:p>
      <w:pPr>
        <w:spacing w:after="160" w:line="259" w:lineRule="auto"/>
        <w:rPr>
          <w:rFonts w:ascii="Times New Roman" w:hAnsi="Times New Roman"/>
          <w:sz w:val="48"/>
          <w:lang w:val="en-MY"/>
        </w:rPr>
      </w:pPr>
    </w:p>
    <w:p>
      <w:pPr>
        <w:pStyle w:val="2"/>
        <w:numPr>
          <w:ilvl w:val="0"/>
          <w:numId w:val="0"/>
        </w:numPr>
        <w:ind w:left="425"/>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p>
    <w:p>
      <w:pPr>
        <w:rPr>
          <w:rFonts w:hint="eastAsia" w:ascii="黑体" w:hAnsi="黑体" w:eastAsia="黑体"/>
          <w:highlight w:val="lightGray"/>
        </w:rPr>
      </w:pPr>
      <w:r>
        <w:rPr>
          <w:sz w:val="21"/>
        </w:rPr>
        <mc:AlternateContent>
          <mc:Choice Requires="wps">
            <w:drawing>
              <wp:anchor distT="0" distB="0" distL="114300" distR="114300" simplePos="0" relativeHeight="251701248" behindDoc="0" locked="0" layoutInCell="1" allowOverlap="1">
                <wp:simplePos x="0" y="0"/>
                <wp:positionH relativeFrom="column">
                  <wp:posOffset>-78105</wp:posOffset>
                </wp:positionH>
                <wp:positionV relativeFrom="paragraph">
                  <wp:posOffset>319405</wp:posOffset>
                </wp:positionV>
                <wp:extent cx="715645" cy="323850"/>
                <wp:effectExtent l="0" t="0" r="20955" b="6350"/>
                <wp:wrapNone/>
                <wp:docPr id="2" name="矩形 2"/>
                <wp:cNvGraphicFramePr/>
                <a:graphic xmlns:a="http://schemas.openxmlformats.org/drawingml/2006/main">
                  <a:graphicData uri="http://schemas.microsoft.com/office/word/2010/wordprocessingShape">
                    <wps:wsp>
                      <wps:cNvSpPr/>
                      <wps:spPr>
                        <a:xfrm>
                          <a:off x="1064895" y="1233805"/>
                          <a:ext cx="715645" cy="3238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15pt;margin-top:25.15pt;height:25.5pt;width:56.35pt;z-index:251701248;v-text-anchor:middle;mso-width-relative:page;mso-height-relative:page;" fillcolor="#FFFFFF [3212]" filled="t" stroked="f" coordsize="21600,21600" o:gfxdata="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FgAAAGRy&#10;cy9QSwECFAAUAAAACACHTuJAmU8GztgAAAAKAQAADwAAAAAAAAABACAAAAA4AAAAZHJzL2Rvd25y&#10;ZXYueG1sUEsBAhQAFAAAAAgAh07iQAU+DdxaAgAAiAQAAA4AAAAAAAAAAQAgAAAAPQEAAGRycy9l&#10;Mm9Eb2MueG1sUEsFBgAAAAAGAAYAWQEAAAkGAAAAAA==&#10;">
                <v:fill on="t" focussize="0,0"/>
                <v:stroke on="f" weight="1pt" miterlimit="8" joinstyle="miter"/>
                <v:imagedata o:title=""/>
                <o:lock v:ext="edit" aspectratio="f"/>
              </v:rect>
            </w:pict>
          </mc:Fallback>
        </mc:AlternateContent>
      </w:r>
    </w:p>
    <w:sdt>
      <w:sdtPr>
        <w:id w:val="0"/>
        <w:lock w:val="sdtContentLocked"/>
        <w:placeholder>
          <w:docPart w:val="{b471c1cd-dfc3-45c8-81ad-d24324acb382}"/>
        </w:placeholder>
        <w15:appearance w15:val="hidden"/>
      </w:sdtPr>
      <w:sdtContent>
        <w:p>
          <w:pPr>
            <w:rPr>
              <w:rStyle w:val="27"/>
            </w:rPr>
          </w:pPr>
          <w:r>
            <w:t>目 录</w:t>
          </w:r>
          <w:bookmarkStart w:id="1" w:name="_Toc18330177"/>
        </w:p>
      </w:sdtContent>
    </w:sdt>
    <w:sdt>
      <w:sdtPr>
        <w:rPr>
          <w:rFonts w:ascii="宋体" w:hAnsi="宋体" w:eastAsia="宋体" w:cstheme="minorBidi"/>
          <w:kern w:val="2"/>
          <w:sz w:val="21"/>
          <w:szCs w:val="21"/>
          <w:lang w:val="en-US" w:eastAsia="zh-CN" w:bidi="ar-SA"/>
        </w:rPr>
        <w:id w:val="949710551"/>
        <w15:color w:val="DBDBDB"/>
      </w:sdtPr>
      <w:sdtEndPr>
        <w:rPr>
          <w:rFonts w:ascii="宋体" w:hAnsi="宋体" w:eastAsia="宋体" w:cstheme="minorBidi"/>
          <w:b/>
          <w:bCs/>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2" w:name="_Toc1815222563_WPSOffice_Type2"/>
          <w:r>
            <w:rPr>
              <w:rFonts w:ascii="宋体" w:hAnsi="宋体" w:eastAsia="宋体" w:cstheme="minorBidi"/>
              <w:kern w:val="2"/>
              <w:sz w:val="21"/>
              <w:szCs w:val="21"/>
              <w:lang w:eastAsia="zh-CN" w:bidi="ar-SA"/>
            </w:rPr>
            <w:t>Contents</w:t>
          </w:r>
        </w:p>
        <w:p>
          <w:pPr>
            <w:pStyle w:val="74"/>
            <w:tabs>
              <w:tab w:val="right" w:leader="dot" w:pos="8306"/>
            </w:tabs>
          </w:pPr>
          <w:r>
            <w:rPr>
              <w:b/>
              <w:bCs/>
            </w:rPr>
            <w:fldChar w:fldCharType="begin"/>
          </w:r>
          <w:r>
            <w:instrText xml:space="preserve"> HYPERLINK \l _Toc559364871_WPSOffice_Level1 </w:instrText>
          </w:r>
          <w:r>
            <w:rPr>
              <w:b/>
              <w:bCs/>
            </w:rPr>
            <w:fldChar w:fldCharType="separate"/>
          </w:r>
          <w:sdt>
            <w:sdtPr>
              <w:rPr>
                <w:rFonts w:asciiTheme="minorHAnsi" w:hAnsiTheme="minorHAnsi" w:eastAsiaTheme="minorEastAsia" w:cstheme="minorBidi"/>
                <w:b/>
                <w:bCs/>
                <w:kern w:val="2"/>
                <w:sz w:val="21"/>
                <w:szCs w:val="21"/>
                <w:lang w:val="en-US" w:eastAsia="zh-CN" w:bidi="ar-SA"/>
              </w:rPr>
              <w:id w:val="949710551"/>
              <w:placeholder>
                <w:docPart w:val="{e153d763-4d4c-4e14-a19e-0967de6c71f3}"/>
              </w:placeholder>
              <w15:color w:val="509DF3"/>
            </w:sdtPr>
            <w:sdtEndPr>
              <w:rPr>
                <w:rFonts w:asciiTheme="minorHAnsi" w:hAnsiTheme="minorHAnsi" w:eastAsiaTheme="minorEastAsia" w:cstheme="minorBidi"/>
                <w:b/>
                <w:bCs/>
                <w:kern w:val="2"/>
                <w:sz w:val="21"/>
                <w:szCs w:val="21"/>
                <w:lang w:val="en-US" w:eastAsia="zh-CN" w:bidi="ar-SA"/>
              </w:rPr>
            </w:sdtEndPr>
            <w:sdtContent>
              <w:r>
                <w:rPr>
                  <w:rFonts w:hint="default" w:asciiTheme="majorHAnsi" w:hAnsiTheme="majorHAnsi" w:eastAsiaTheme="majorEastAsia" w:cstheme="majorBidi"/>
                  <w:b/>
                  <w:bCs/>
                </w:rPr>
                <w:t>1.Backgrounds</w:t>
              </w:r>
            </w:sdtContent>
          </w:sdt>
          <w:r>
            <w:rPr>
              <w:b/>
              <w:bCs/>
            </w:rPr>
            <w:tab/>
          </w:r>
          <w:bookmarkStart w:id="3" w:name="_Toc559364871_WPSOffice_Level1Page"/>
          <w:r>
            <w:rPr>
              <w:b/>
              <w:bCs/>
            </w:rPr>
            <w:t>4</w:t>
          </w:r>
          <w:bookmarkEnd w:id="3"/>
          <w:r>
            <w:rPr>
              <w:b/>
              <w:bCs/>
            </w:rPr>
            <w:fldChar w:fldCharType="end"/>
          </w:r>
        </w:p>
        <w:p>
          <w:pPr>
            <w:pStyle w:val="74"/>
            <w:tabs>
              <w:tab w:val="right" w:leader="dot" w:pos="8306"/>
            </w:tabs>
          </w:pPr>
          <w:r>
            <w:rPr>
              <w:b/>
              <w:bCs/>
            </w:rPr>
            <w:fldChar w:fldCharType="begin"/>
          </w:r>
          <w:r>
            <w:instrText xml:space="preserve"> HYPERLINK \l _Toc1815222563_WPSOffice_Level1 </w:instrText>
          </w:r>
          <w:r>
            <w:rPr>
              <w:b/>
              <w:bCs/>
            </w:rPr>
            <w:fldChar w:fldCharType="separate"/>
          </w:r>
          <w:sdt>
            <w:sdtPr>
              <w:rPr>
                <w:rFonts w:asciiTheme="minorHAnsi" w:hAnsiTheme="minorHAnsi" w:eastAsiaTheme="minorEastAsia" w:cstheme="minorBidi"/>
                <w:b/>
                <w:bCs/>
                <w:kern w:val="2"/>
                <w:sz w:val="21"/>
                <w:szCs w:val="21"/>
                <w:lang w:val="en-US" w:eastAsia="zh-CN" w:bidi="ar-SA"/>
              </w:rPr>
              <w:id w:val="949710551"/>
              <w:placeholder>
                <w:docPart w:val="{b5c0c62c-859b-4786-a57d-66fe83b6e062}"/>
              </w:placeholder>
              <w15:color w:val="509DF3"/>
            </w:sdtPr>
            <w:sdtEndPr>
              <w:rPr>
                <w:rFonts w:asciiTheme="minorHAnsi" w:hAnsiTheme="minorHAnsi" w:eastAsiaTheme="minorEastAsia" w:cstheme="minorBidi"/>
                <w:b/>
                <w:bCs/>
                <w:kern w:val="2"/>
                <w:sz w:val="21"/>
                <w:szCs w:val="21"/>
                <w:lang w:val="en-US" w:eastAsia="zh-CN" w:bidi="ar-SA"/>
              </w:rPr>
            </w:sdtEndPr>
            <w:sdtContent>
              <w:r>
                <w:rPr>
                  <w:rFonts w:hint="default" w:asciiTheme="majorHAnsi" w:hAnsiTheme="majorHAnsi" w:eastAsiaTheme="majorEastAsia" w:cstheme="majorBidi"/>
                  <w:b/>
                  <w:bCs/>
                </w:rPr>
                <w:t xml:space="preserve">2. </w:t>
              </w:r>
              <w:r>
                <w:rPr>
                  <w:rFonts w:hint="eastAsia" w:asciiTheme="majorHAnsi" w:hAnsiTheme="majorHAnsi" w:eastAsiaTheme="majorEastAsia" w:cstheme="majorBidi"/>
                  <w:b/>
                  <w:bCs/>
                </w:rPr>
                <w:t>Rethinking the construction of network security from ransomware</w:t>
              </w:r>
            </w:sdtContent>
          </w:sdt>
          <w:r>
            <w:rPr>
              <w:b/>
              <w:bCs/>
            </w:rPr>
            <w:tab/>
          </w:r>
          <w:bookmarkStart w:id="4" w:name="_Toc1815222563_WPSOffice_Level1Page"/>
          <w:r>
            <w:rPr>
              <w:b/>
              <w:bCs/>
            </w:rPr>
            <w:t>5</w:t>
          </w:r>
          <w:bookmarkEnd w:id="4"/>
          <w:r>
            <w:rPr>
              <w:b/>
              <w:bCs/>
            </w:rPr>
            <w:fldChar w:fldCharType="end"/>
          </w:r>
        </w:p>
        <w:p>
          <w:pPr>
            <w:pStyle w:val="75"/>
            <w:tabs>
              <w:tab w:val="right" w:leader="dot" w:pos="8306"/>
            </w:tabs>
          </w:pPr>
          <w:r>
            <w:fldChar w:fldCharType="begin"/>
          </w:r>
          <w:r>
            <w:instrText xml:space="preserve"> HYPERLINK \l _Toc1815222563_WPSOffice_Level2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c4f430a6-4936-4c44-81e2-f8f71e25ba51}"/>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2</w:t>
              </w:r>
              <w:r>
                <w:rPr>
                  <w:rFonts w:asciiTheme="minorHAnsi" w:hAnsiTheme="minorHAnsi" w:eastAsiaTheme="minorEastAsia" w:cstheme="minorBidi"/>
                </w:rPr>
                <w:t>.1.</w:t>
              </w:r>
              <w:r>
                <w:rPr>
                  <w:rFonts w:hint="eastAsia" w:asciiTheme="minorHAnsi" w:hAnsiTheme="minorHAnsi" w:eastAsiaTheme="minorEastAsia" w:cstheme="minorBidi"/>
                </w:rPr>
                <w:t>The old s</w:t>
              </w:r>
              <w:r>
                <w:rPr>
                  <w:rFonts w:hint="default" w:asciiTheme="minorHAnsi" w:hAnsiTheme="minorHAnsi" w:eastAsiaTheme="minorEastAsia" w:cstheme="minorBidi"/>
                </w:rPr>
                <w:t>ecurity</w:t>
              </w:r>
              <w:r>
                <w:rPr>
                  <w:rFonts w:hint="eastAsia" w:asciiTheme="minorHAnsi" w:hAnsiTheme="minorHAnsi" w:eastAsiaTheme="minorEastAsia" w:cstheme="minorBidi"/>
                </w:rPr>
                <w:t xml:space="preserve"> management measures cannot be applied to the new business</w:t>
              </w:r>
            </w:sdtContent>
          </w:sdt>
          <w:r>
            <w:tab/>
          </w:r>
          <w:bookmarkStart w:id="5" w:name="_Toc1815222563_WPSOffice_Level2Page"/>
          <w:r>
            <w:t>5</w:t>
          </w:r>
          <w:bookmarkEnd w:id="5"/>
          <w:r>
            <w:fldChar w:fldCharType="end"/>
          </w:r>
        </w:p>
        <w:p>
          <w:pPr>
            <w:pStyle w:val="75"/>
            <w:tabs>
              <w:tab w:val="right" w:leader="dot" w:pos="8306"/>
            </w:tabs>
          </w:pPr>
          <w:r>
            <w:fldChar w:fldCharType="begin"/>
          </w:r>
          <w:r>
            <w:instrText xml:space="preserve"> HYPERLINK \l _Toc1292927059_WPSOffice_Level2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b4e77f05-58ef-4731-a10e-d93a6c206479}"/>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2.2.It is difficult to configure an overly complex security system strategy</w:t>
              </w:r>
            </w:sdtContent>
          </w:sdt>
          <w:r>
            <w:tab/>
          </w:r>
          <w:bookmarkStart w:id="6" w:name="_Toc1292927059_WPSOffice_Level2Page"/>
          <w:r>
            <w:t>6</w:t>
          </w:r>
          <w:bookmarkEnd w:id="6"/>
          <w:r>
            <w:fldChar w:fldCharType="end"/>
          </w:r>
        </w:p>
        <w:p>
          <w:pPr>
            <w:pStyle w:val="75"/>
            <w:tabs>
              <w:tab w:val="right" w:leader="dot" w:pos="8306"/>
            </w:tabs>
          </w:pPr>
          <w:r>
            <w:fldChar w:fldCharType="begin"/>
          </w:r>
          <w:r>
            <w:instrText xml:space="preserve"> HYPERLINK \l _Toc1985540267_WPSOffice_Level2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787434d9-2acc-4424-8966-fa4e51c9c5d2}"/>
              </w:placeholder>
              <w15:color w:val="509DF3"/>
            </w:sdtPr>
            <w:sdtEndPr>
              <w:rPr>
                <w:rFonts w:asciiTheme="minorHAnsi" w:hAnsiTheme="minorHAnsi" w:eastAsiaTheme="minorEastAsia" w:cstheme="minorBidi"/>
                <w:kern w:val="2"/>
                <w:sz w:val="21"/>
                <w:szCs w:val="21"/>
                <w:lang w:val="en-US" w:eastAsia="zh-CN" w:bidi="ar-SA"/>
              </w:rPr>
            </w:sdtEndPr>
            <w:sdtContent>
              <w:r>
                <w:rPr>
                  <w:rFonts w:hint="default" w:asciiTheme="minorHAnsi" w:hAnsiTheme="minorHAnsi" w:eastAsiaTheme="minorEastAsia" w:cstheme="minorBidi"/>
                </w:rPr>
                <w:t xml:space="preserve">2.3 </w:t>
              </w:r>
              <w:r>
                <w:rPr>
                  <w:rFonts w:hint="eastAsia" w:asciiTheme="minorHAnsi" w:hAnsiTheme="minorHAnsi" w:eastAsiaTheme="minorEastAsia" w:cstheme="minorBidi"/>
                </w:rPr>
                <w:t xml:space="preserve">Lack of in-depth monitoring of boundaries and </w:t>
              </w:r>
              <w:r>
                <w:rPr>
                  <w:rFonts w:hint="default" w:asciiTheme="minorHAnsi" w:hAnsiTheme="minorHAnsi" w:eastAsiaTheme="minorEastAsia" w:cstheme="minorBidi"/>
                </w:rPr>
                <w:t>endpoint</w:t>
              </w:r>
              <w:r>
                <w:rPr>
                  <w:rFonts w:hint="eastAsia" w:asciiTheme="minorHAnsi" w:hAnsiTheme="minorHAnsi" w:eastAsiaTheme="minorEastAsia" w:cstheme="minorBidi"/>
                </w:rPr>
                <w:t>s</w:t>
              </w:r>
            </w:sdtContent>
          </w:sdt>
          <w:r>
            <w:tab/>
          </w:r>
          <w:bookmarkStart w:id="7" w:name="_Toc1985540267_WPSOffice_Level2Page"/>
          <w:r>
            <w:t>6</w:t>
          </w:r>
          <w:bookmarkEnd w:id="7"/>
          <w:r>
            <w:fldChar w:fldCharType="end"/>
          </w:r>
        </w:p>
        <w:p>
          <w:pPr>
            <w:pStyle w:val="75"/>
            <w:tabs>
              <w:tab w:val="right" w:leader="dot" w:pos="8306"/>
            </w:tabs>
          </w:pPr>
          <w:r>
            <w:fldChar w:fldCharType="begin"/>
          </w:r>
          <w:r>
            <w:instrText xml:space="preserve"> HYPERLINK \l _Toc1226876736_WPSOffice_Level2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8fad0629-27f1-483e-be42-a5ba5ce83fe2}"/>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2.</w:t>
              </w:r>
              <w:r>
                <w:rPr>
                  <w:rFonts w:asciiTheme="minorHAnsi" w:hAnsiTheme="minorHAnsi" w:eastAsiaTheme="minorEastAsia" w:cstheme="minorBidi"/>
                </w:rPr>
                <w:t>4</w:t>
              </w:r>
              <w:r>
                <w:rPr>
                  <w:rFonts w:hint="eastAsia" w:asciiTheme="minorHAnsi" w:hAnsiTheme="minorHAnsi" w:eastAsiaTheme="minorEastAsia" w:cstheme="minorBidi"/>
                </w:rPr>
                <w:t>.Difficulty in response, I don’t know how to start</w:t>
              </w:r>
            </w:sdtContent>
          </w:sdt>
          <w:r>
            <w:tab/>
          </w:r>
          <w:bookmarkStart w:id="8" w:name="_Toc1226876736_WPSOffice_Level2Page"/>
          <w:r>
            <w:t>7</w:t>
          </w:r>
          <w:bookmarkEnd w:id="8"/>
          <w:r>
            <w:fldChar w:fldCharType="end"/>
          </w:r>
        </w:p>
        <w:p>
          <w:pPr>
            <w:pStyle w:val="74"/>
            <w:tabs>
              <w:tab w:val="right" w:leader="dot" w:pos="8306"/>
            </w:tabs>
          </w:pPr>
          <w:r>
            <w:rPr>
              <w:b/>
              <w:bCs/>
            </w:rPr>
            <w:fldChar w:fldCharType="begin"/>
          </w:r>
          <w:r>
            <w:instrText xml:space="preserve"> HYPERLINK \l _Toc1292927059_WPSOffice_Level1 </w:instrText>
          </w:r>
          <w:r>
            <w:rPr>
              <w:b/>
              <w:bCs/>
            </w:rPr>
            <w:fldChar w:fldCharType="separate"/>
          </w:r>
          <w:sdt>
            <w:sdtPr>
              <w:rPr>
                <w:rFonts w:asciiTheme="minorHAnsi" w:hAnsiTheme="minorHAnsi" w:eastAsiaTheme="minorEastAsia" w:cstheme="minorBidi"/>
                <w:b/>
                <w:bCs/>
                <w:kern w:val="2"/>
                <w:sz w:val="21"/>
                <w:szCs w:val="21"/>
                <w:lang w:val="en-US" w:eastAsia="zh-CN" w:bidi="ar-SA"/>
              </w:rPr>
              <w:id w:val="949710551"/>
              <w:placeholder>
                <w:docPart w:val="{99aefb63-971e-4d76-b9c8-c895f629daaf}"/>
              </w:placeholder>
              <w15:color w:val="509DF3"/>
            </w:sdtPr>
            <w:sdtEndPr>
              <w:rPr>
                <w:rFonts w:asciiTheme="minorHAnsi" w:hAnsiTheme="minorHAnsi" w:eastAsiaTheme="minorEastAsia" w:cstheme="minorBidi"/>
                <w:b/>
                <w:bCs/>
                <w:kern w:val="2"/>
                <w:sz w:val="21"/>
                <w:szCs w:val="21"/>
                <w:lang w:val="en-US" w:eastAsia="zh-CN" w:bidi="ar-SA"/>
              </w:rPr>
            </w:sdtEndPr>
            <w:sdtContent>
              <w:r>
                <w:rPr>
                  <w:rFonts w:hint="default" w:asciiTheme="majorHAnsi" w:hAnsiTheme="majorHAnsi" w:eastAsiaTheme="majorEastAsia" w:cstheme="majorBidi"/>
                  <w:b/>
                  <w:bCs/>
                </w:rPr>
                <w:t>3. Sangfor Ransomware solution:</w:t>
              </w:r>
            </w:sdtContent>
          </w:sdt>
          <w:r>
            <w:rPr>
              <w:b/>
              <w:bCs/>
            </w:rPr>
            <w:tab/>
          </w:r>
          <w:bookmarkStart w:id="9" w:name="_Toc1292927059_WPSOffice_Level1Page"/>
          <w:r>
            <w:rPr>
              <w:b/>
              <w:bCs/>
            </w:rPr>
            <w:t>7</w:t>
          </w:r>
          <w:bookmarkEnd w:id="9"/>
          <w:r>
            <w:rPr>
              <w:b/>
              <w:bCs/>
            </w:rPr>
            <w:fldChar w:fldCharType="end"/>
          </w:r>
        </w:p>
        <w:p>
          <w:pPr>
            <w:pStyle w:val="75"/>
            <w:tabs>
              <w:tab w:val="right" w:leader="dot" w:pos="8306"/>
            </w:tabs>
          </w:pPr>
          <w:r>
            <w:fldChar w:fldCharType="begin"/>
          </w:r>
          <w:r>
            <w:instrText xml:space="preserve"> HYPERLINK \l _Toc2126807105_WPSOffice_Level2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30208444-259e-471f-a7b8-58efd109e725}"/>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3.1.</w:t>
              </w:r>
              <w:r>
                <w:rPr>
                  <w:rFonts w:hint="default" w:asciiTheme="minorHAnsi" w:hAnsiTheme="minorHAnsi" w:eastAsiaTheme="minorEastAsia" w:cstheme="minorBidi"/>
                </w:rPr>
                <w:t>Before incident- risk assessment of the boundary and the endpoint</w:t>
              </w:r>
            </w:sdtContent>
          </w:sdt>
          <w:r>
            <w:tab/>
          </w:r>
          <w:bookmarkStart w:id="10" w:name="_Toc2126807105_WPSOffice_Level2Page"/>
          <w:r>
            <w:t>7</w:t>
          </w:r>
          <w:bookmarkEnd w:id="10"/>
          <w:r>
            <w:fldChar w:fldCharType="end"/>
          </w:r>
        </w:p>
        <w:p>
          <w:pPr>
            <w:pStyle w:val="75"/>
            <w:tabs>
              <w:tab w:val="right" w:leader="dot" w:pos="8306"/>
            </w:tabs>
          </w:pPr>
          <w:r>
            <w:fldChar w:fldCharType="begin"/>
          </w:r>
          <w:r>
            <w:instrText xml:space="preserve"> HYPERLINK \l _Toc381709420_WPSOffice_Level2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d6ceae0e-603c-40b1-b78d-986a9bd2ac7a}"/>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3.2.</w:t>
              </w:r>
              <w:r>
                <w:rPr>
                  <w:rFonts w:hint="default" w:asciiTheme="minorHAnsi" w:hAnsiTheme="minorHAnsi" w:eastAsiaTheme="minorEastAsia" w:cstheme="minorBidi"/>
                </w:rPr>
                <w:t>During incident</w:t>
              </w:r>
              <w:r>
                <w:rPr>
                  <w:rFonts w:hint="eastAsia" w:asciiTheme="minorHAnsi" w:hAnsiTheme="minorHAnsi" w:eastAsiaTheme="minorEastAsia" w:cstheme="minorBidi"/>
                </w:rPr>
                <w:t>-Exclusive defense against ransomware</w:t>
              </w:r>
            </w:sdtContent>
          </w:sdt>
          <w:r>
            <w:tab/>
          </w:r>
          <w:bookmarkStart w:id="11" w:name="_Toc381709420_WPSOffice_Level2Page"/>
          <w:r>
            <w:t>8</w:t>
          </w:r>
          <w:bookmarkEnd w:id="11"/>
          <w:r>
            <w:fldChar w:fldCharType="end"/>
          </w:r>
        </w:p>
        <w:p>
          <w:pPr>
            <w:pStyle w:val="75"/>
            <w:tabs>
              <w:tab w:val="right" w:leader="dot" w:pos="8306"/>
            </w:tabs>
          </w:pPr>
          <w:r>
            <w:fldChar w:fldCharType="begin"/>
          </w:r>
          <w:r>
            <w:instrText xml:space="preserve"> HYPERLINK \l _Toc856568351_WPSOffice_Level2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48bec156-7a3a-4560-87d4-94d1d6cbb5bc}"/>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3.3.</w:t>
              </w:r>
              <w:r>
                <w:rPr>
                  <w:rFonts w:hint="default" w:asciiTheme="minorHAnsi" w:hAnsiTheme="minorHAnsi" w:eastAsiaTheme="minorEastAsia" w:cstheme="minorBidi"/>
                </w:rPr>
                <w:t>After incident</w:t>
              </w:r>
              <w:r>
                <w:rPr>
                  <w:rFonts w:hint="eastAsia" w:asciiTheme="minorHAnsi" w:hAnsiTheme="minorHAnsi" w:eastAsiaTheme="minorEastAsia" w:cstheme="minorBidi"/>
                </w:rPr>
                <w:t>-Comprehensive and full in-depth inspection</w:t>
              </w:r>
            </w:sdtContent>
          </w:sdt>
          <w:r>
            <w:tab/>
          </w:r>
          <w:bookmarkStart w:id="12" w:name="_Toc856568351_WPSOffice_Level2Page"/>
          <w:r>
            <w:t>9</w:t>
          </w:r>
          <w:bookmarkEnd w:id="12"/>
          <w:r>
            <w:fldChar w:fldCharType="end"/>
          </w:r>
        </w:p>
        <w:p>
          <w:pPr>
            <w:pStyle w:val="75"/>
            <w:tabs>
              <w:tab w:val="right" w:leader="dot" w:pos="8306"/>
            </w:tabs>
          </w:pPr>
          <w:r>
            <w:fldChar w:fldCharType="begin"/>
          </w:r>
          <w:r>
            <w:instrText xml:space="preserve"> HYPERLINK \l _Toc1761389416_WPSOffice_Level2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bdb39c1d-cadf-4d70-99bb-4256c2bdb629}"/>
              </w:placeholder>
              <w15:color w:val="509DF3"/>
            </w:sdtPr>
            <w:sdtEndPr>
              <w:rPr>
                <w:rFonts w:asciiTheme="minorHAnsi" w:hAnsiTheme="minorHAnsi" w:eastAsiaTheme="minorEastAsia" w:cstheme="minorBidi"/>
                <w:kern w:val="2"/>
                <w:sz w:val="21"/>
                <w:szCs w:val="21"/>
                <w:lang w:val="en-US" w:eastAsia="zh-CN" w:bidi="ar-SA"/>
              </w:rPr>
            </w:sdtEndPr>
            <w:sdtContent>
              <w:r>
                <w:rPr>
                  <w:rFonts w:asciiTheme="minorHAnsi" w:hAnsiTheme="minorHAnsi" w:eastAsiaTheme="minorEastAsia" w:cstheme="minorBidi"/>
                </w:rPr>
                <w:t>3.</w:t>
              </w:r>
              <w:r>
                <w:rPr>
                  <w:rFonts w:hint="eastAsia" w:asciiTheme="minorHAnsi" w:hAnsiTheme="minorHAnsi" w:eastAsiaTheme="minorEastAsia" w:cstheme="minorBidi"/>
                </w:rPr>
                <w:t>4.Ransomware Disposal Center</w:t>
              </w:r>
            </w:sdtContent>
          </w:sdt>
          <w:r>
            <w:tab/>
          </w:r>
          <w:bookmarkStart w:id="13" w:name="_Toc1761389416_WPSOffice_Level2Page"/>
          <w:r>
            <w:t>10</w:t>
          </w:r>
          <w:bookmarkEnd w:id="13"/>
          <w:r>
            <w:fldChar w:fldCharType="end"/>
          </w:r>
        </w:p>
        <w:p>
          <w:pPr>
            <w:pStyle w:val="74"/>
            <w:tabs>
              <w:tab w:val="right" w:leader="dot" w:pos="8306"/>
            </w:tabs>
          </w:pPr>
          <w:r>
            <w:rPr>
              <w:b/>
              <w:bCs/>
            </w:rPr>
            <w:fldChar w:fldCharType="begin"/>
          </w:r>
          <w:r>
            <w:instrText xml:space="preserve"> HYPERLINK \l _Toc1985540267_WPSOffice_Level1 </w:instrText>
          </w:r>
          <w:r>
            <w:rPr>
              <w:b/>
              <w:bCs/>
            </w:rPr>
            <w:fldChar w:fldCharType="separate"/>
          </w:r>
          <w:sdt>
            <w:sdtPr>
              <w:rPr>
                <w:rFonts w:asciiTheme="minorHAnsi" w:hAnsiTheme="minorHAnsi" w:eastAsiaTheme="minorEastAsia" w:cstheme="minorBidi"/>
                <w:b/>
                <w:bCs/>
                <w:kern w:val="2"/>
                <w:sz w:val="21"/>
                <w:szCs w:val="21"/>
                <w:lang w:val="en-US" w:eastAsia="zh-CN" w:bidi="ar-SA"/>
              </w:rPr>
              <w:id w:val="949710551"/>
              <w:placeholder>
                <w:docPart w:val="{4d15ae03-0ac7-426b-939d-4423a0ae1d17}"/>
              </w:placeholder>
              <w15:color w:val="509DF3"/>
            </w:sdtPr>
            <w:sdtEndPr>
              <w:rPr>
                <w:rFonts w:asciiTheme="minorHAnsi" w:hAnsiTheme="minorHAnsi" w:eastAsiaTheme="minorEastAsia" w:cstheme="minorBidi"/>
                <w:b/>
                <w:bCs/>
                <w:kern w:val="2"/>
                <w:sz w:val="21"/>
                <w:szCs w:val="21"/>
                <w:lang w:val="en-US" w:eastAsia="zh-CN" w:bidi="ar-SA"/>
              </w:rPr>
            </w:sdtEndPr>
            <w:sdtContent>
              <w:r>
                <w:rPr>
                  <w:rFonts w:hint="default" w:asciiTheme="majorHAnsi" w:hAnsiTheme="majorHAnsi" w:eastAsiaTheme="majorEastAsia" w:cstheme="majorBidi"/>
                  <w:b/>
                  <w:bCs/>
                </w:rPr>
                <w:t>4. Product value:</w:t>
              </w:r>
            </w:sdtContent>
          </w:sdt>
          <w:r>
            <w:rPr>
              <w:b/>
              <w:bCs/>
            </w:rPr>
            <w:tab/>
          </w:r>
          <w:bookmarkStart w:id="14" w:name="_Toc1985540267_WPSOffice_Level1Page"/>
          <w:r>
            <w:rPr>
              <w:b/>
              <w:bCs/>
            </w:rPr>
            <w:t>11</w:t>
          </w:r>
          <w:bookmarkEnd w:id="14"/>
          <w:r>
            <w:rPr>
              <w:b/>
              <w:bCs/>
            </w:rPr>
            <w:fldChar w:fldCharType="end"/>
          </w:r>
        </w:p>
        <w:p>
          <w:pPr>
            <w:pStyle w:val="75"/>
            <w:tabs>
              <w:tab w:val="right" w:leader="dot" w:pos="8306"/>
            </w:tabs>
          </w:pPr>
          <w:r>
            <w:fldChar w:fldCharType="begin"/>
          </w:r>
          <w:r>
            <w:instrText xml:space="preserve"> HYPERLINK \l _Toc609840817_WPSOffice_Level2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98762a40-6355-4005-ae59-e7e84d61dbfe}"/>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4.1.</w:t>
              </w:r>
              <w:r>
                <w:rPr>
                  <w:rFonts w:hint="default" w:asciiTheme="minorHAnsi" w:hAnsiTheme="minorHAnsi" w:eastAsiaTheme="minorEastAsia" w:cstheme="minorBidi"/>
                </w:rPr>
                <w:t>Sangfor NG</w:t>
              </w:r>
              <w:r>
                <w:rPr>
                  <w:rFonts w:hint="eastAsia" w:asciiTheme="minorHAnsi" w:hAnsiTheme="minorHAnsi" w:eastAsiaTheme="minorEastAsia" w:cstheme="minorBidi"/>
                </w:rPr>
                <w:t>A</w:t>
              </w:r>
              <w:r>
                <w:rPr>
                  <w:rFonts w:asciiTheme="minorHAnsi" w:hAnsiTheme="minorHAnsi" w:eastAsiaTheme="minorEastAsia" w:cstheme="minorBidi"/>
                </w:rPr>
                <w:t>F</w:t>
              </w:r>
            </w:sdtContent>
          </w:sdt>
          <w:r>
            <w:tab/>
          </w:r>
          <w:bookmarkStart w:id="15" w:name="_Toc609840817_WPSOffice_Level2Page"/>
          <w:r>
            <w:t>11</w:t>
          </w:r>
          <w:bookmarkEnd w:id="15"/>
          <w:r>
            <w:fldChar w:fldCharType="end"/>
          </w:r>
        </w:p>
        <w:p>
          <w:pPr>
            <w:pStyle w:val="75"/>
            <w:tabs>
              <w:tab w:val="right" w:leader="dot" w:pos="8306"/>
            </w:tabs>
          </w:pPr>
          <w:r>
            <w:fldChar w:fldCharType="begin"/>
          </w:r>
          <w:r>
            <w:instrText xml:space="preserve"> HYPERLINK \l _Toc1802647835_WPSOffice_Level2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f4394262-f801-4010-acc2-e59e68ae2cc5}"/>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4.2.</w:t>
              </w:r>
              <w:r>
                <w:rPr>
                  <w:rFonts w:hint="default" w:asciiTheme="minorHAnsi" w:hAnsiTheme="minorHAnsi" w:eastAsiaTheme="minorEastAsia" w:cstheme="minorBidi"/>
                </w:rPr>
                <w:t xml:space="preserve">Sangfor </w:t>
              </w:r>
              <w:r>
                <w:rPr>
                  <w:rFonts w:hint="eastAsia" w:asciiTheme="minorHAnsi" w:hAnsiTheme="minorHAnsi" w:eastAsiaTheme="minorEastAsia" w:cstheme="minorBidi"/>
                </w:rPr>
                <w:t>E</w:t>
              </w:r>
              <w:r>
                <w:rPr>
                  <w:rFonts w:hint="default" w:asciiTheme="minorHAnsi" w:hAnsiTheme="minorHAnsi" w:eastAsiaTheme="minorEastAsia" w:cstheme="minorBidi"/>
                </w:rPr>
                <w:t>S</w:t>
              </w:r>
            </w:sdtContent>
          </w:sdt>
          <w:r>
            <w:tab/>
          </w:r>
          <w:bookmarkStart w:id="16" w:name="_Toc1802647835_WPSOffice_Level2Page"/>
          <w:r>
            <w:t>12</w:t>
          </w:r>
          <w:bookmarkEnd w:id="16"/>
          <w:r>
            <w:fldChar w:fldCharType="end"/>
          </w:r>
        </w:p>
        <w:p>
          <w:pPr>
            <w:pStyle w:val="75"/>
            <w:tabs>
              <w:tab w:val="right" w:leader="dot" w:pos="8306"/>
            </w:tabs>
          </w:pPr>
          <w:r>
            <w:fldChar w:fldCharType="begin"/>
          </w:r>
          <w:r>
            <w:instrText xml:space="preserve"> HYPERLINK \l _Toc402870969_WPSOffice_Level2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39686476-477e-4a2f-9b84-f78b51feea3b}"/>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4.3.</w:t>
              </w:r>
              <w:r>
                <w:rPr>
                  <w:rFonts w:hint="default" w:asciiTheme="minorHAnsi" w:hAnsiTheme="minorHAnsi" w:eastAsiaTheme="minorEastAsia" w:cstheme="minorBidi"/>
                </w:rPr>
                <w:t>Sangofr Cyber Command:</w:t>
              </w:r>
            </w:sdtContent>
          </w:sdt>
          <w:r>
            <w:tab/>
          </w:r>
          <w:bookmarkStart w:id="17" w:name="_Toc402870969_WPSOffice_Level2Page"/>
          <w:r>
            <w:t>13</w:t>
          </w:r>
          <w:bookmarkEnd w:id="17"/>
          <w:r>
            <w:fldChar w:fldCharType="end"/>
          </w:r>
        </w:p>
        <w:p>
          <w:pPr>
            <w:pStyle w:val="75"/>
            <w:tabs>
              <w:tab w:val="right" w:leader="dot" w:pos="8306"/>
            </w:tabs>
          </w:pPr>
          <w:r>
            <w:fldChar w:fldCharType="begin"/>
          </w:r>
          <w:r>
            <w:instrText xml:space="preserve"> HYPERLINK \l _Toc36436992_WPSOffice_Level2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cd656291-8e98-446b-a399-9213a5126159}"/>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4.4.</w:t>
              </w:r>
              <w:r>
                <w:rPr>
                  <w:rFonts w:hint="default" w:asciiTheme="minorHAnsi" w:hAnsiTheme="minorHAnsi" w:eastAsiaTheme="minorEastAsia" w:cstheme="minorBidi"/>
                </w:rPr>
                <w:t>Sangfor Neural-X</w:t>
              </w:r>
            </w:sdtContent>
          </w:sdt>
          <w:r>
            <w:tab/>
          </w:r>
          <w:bookmarkStart w:id="18" w:name="_Toc36436992_WPSOffice_Level2Page"/>
          <w:r>
            <w:t>14</w:t>
          </w:r>
          <w:bookmarkEnd w:id="18"/>
          <w:r>
            <w:fldChar w:fldCharType="end"/>
          </w:r>
        </w:p>
        <w:p>
          <w:pPr>
            <w:pStyle w:val="75"/>
            <w:tabs>
              <w:tab w:val="right" w:leader="dot" w:pos="8306"/>
            </w:tabs>
          </w:pPr>
          <w:r>
            <w:fldChar w:fldCharType="begin"/>
          </w:r>
          <w:r>
            <w:instrText xml:space="preserve"> HYPERLINK \l _Toc363685149_WPSOffice_Level2 </w:instrText>
          </w:r>
          <w:r>
            <w:fldChar w:fldCharType="separate"/>
          </w:r>
          <w:sdt>
            <w:sdtPr>
              <w:rPr>
                <w:rFonts w:asciiTheme="minorHAnsi" w:hAnsiTheme="minorHAnsi" w:eastAsiaTheme="minorEastAsia" w:cstheme="minorBidi"/>
                <w:kern w:val="2"/>
                <w:sz w:val="21"/>
                <w:szCs w:val="21"/>
                <w:lang w:val="en-US" w:eastAsia="zh-CN" w:bidi="ar-SA"/>
              </w:rPr>
              <w:id w:val="949710551"/>
              <w:placeholder>
                <w:docPart w:val="{b929fe6f-c951-4f9f-90a2-5f6e18f63448}"/>
              </w:placeholder>
              <w15:color w:val="509DF3"/>
            </w:sdtPr>
            <w:sdtEndPr>
              <w:rPr>
                <w:rFonts w:asciiTheme="minorHAnsi" w:hAnsiTheme="minorHAnsi" w:eastAsiaTheme="minorEastAsia" w:cstheme="minorBidi"/>
                <w:kern w:val="2"/>
                <w:sz w:val="21"/>
                <w:szCs w:val="21"/>
                <w:lang w:val="en-US" w:eastAsia="zh-CN" w:bidi="ar-SA"/>
              </w:rPr>
            </w:sdtEndPr>
            <w:sdtContent>
              <w:r>
                <w:rPr>
                  <w:rFonts w:hint="eastAsia" w:asciiTheme="minorHAnsi" w:hAnsiTheme="minorHAnsi" w:eastAsiaTheme="minorEastAsia" w:cstheme="minorBidi"/>
                </w:rPr>
                <w:t>4.5.</w:t>
              </w:r>
              <w:r>
                <w:rPr>
                  <w:rFonts w:hint="default" w:asciiTheme="minorHAnsi" w:hAnsiTheme="minorHAnsi" w:eastAsiaTheme="minorEastAsia" w:cstheme="minorBidi"/>
                </w:rPr>
                <w:t>Sangfor's artificial intelligence antivirus engine--Engine Zero</w:t>
              </w:r>
            </w:sdtContent>
          </w:sdt>
          <w:r>
            <w:tab/>
          </w:r>
          <w:bookmarkStart w:id="19" w:name="_Toc363685149_WPSOffice_Level2Page"/>
          <w:r>
            <w:t>15</w:t>
          </w:r>
          <w:bookmarkEnd w:id="19"/>
          <w:r>
            <w:fldChar w:fldCharType="end"/>
          </w:r>
        </w:p>
        <w:p>
          <w:pPr>
            <w:pStyle w:val="74"/>
            <w:tabs>
              <w:tab w:val="right" w:leader="dot" w:pos="8306"/>
            </w:tabs>
          </w:pPr>
          <w:r>
            <w:rPr>
              <w:b/>
              <w:bCs/>
            </w:rPr>
            <w:fldChar w:fldCharType="begin"/>
          </w:r>
          <w:r>
            <w:instrText xml:space="preserve"> HYPERLINK \l _Toc1226876736_WPSOffice_Level1 </w:instrText>
          </w:r>
          <w:r>
            <w:rPr>
              <w:b/>
              <w:bCs/>
            </w:rPr>
            <w:fldChar w:fldCharType="separate"/>
          </w:r>
          <w:sdt>
            <w:sdtPr>
              <w:rPr>
                <w:rFonts w:asciiTheme="minorHAnsi" w:hAnsiTheme="minorHAnsi" w:eastAsiaTheme="minorEastAsia" w:cstheme="minorBidi"/>
                <w:b/>
                <w:bCs/>
                <w:kern w:val="2"/>
                <w:sz w:val="21"/>
                <w:szCs w:val="21"/>
                <w:lang w:val="en-US" w:eastAsia="zh-CN" w:bidi="ar-SA"/>
              </w:rPr>
              <w:id w:val="949710551"/>
              <w:placeholder>
                <w:docPart w:val="{0aa7bdf1-38ea-438b-8e68-93d4c243b396}"/>
              </w:placeholder>
              <w15:color w:val="509DF3"/>
            </w:sdtPr>
            <w:sdtEndPr>
              <w:rPr>
                <w:rFonts w:asciiTheme="minorHAnsi" w:hAnsiTheme="minorHAnsi" w:eastAsiaTheme="minorEastAsia" w:cstheme="minorBidi"/>
                <w:b/>
                <w:bCs/>
                <w:kern w:val="2"/>
                <w:sz w:val="21"/>
                <w:szCs w:val="21"/>
                <w:lang w:val="en-US" w:eastAsia="zh-CN" w:bidi="ar-SA"/>
              </w:rPr>
            </w:sdtEndPr>
            <w:sdtContent>
              <w:r>
                <w:rPr>
                  <w:rFonts w:asciiTheme="majorHAnsi" w:hAnsiTheme="majorHAnsi" w:eastAsiaTheme="majorEastAsia" w:cstheme="majorBidi"/>
                  <w:b/>
                  <w:bCs/>
                </w:rPr>
                <w:t>5. About Sangfor</w:t>
              </w:r>
            </w:sdtContent>
          </w:sdt>
          <w:r>
            <w:rPr>
              <w:b/>
              <w:bCs/>
            </w:rPr>
            <w:tab/>
          </w:r>
          <w:bookmarkStart w:id="20" w:name="_Toc1226876736_WPSOffice_Level1Page"/>
          <w:r>
            <w:rPr>
              <w:b/>
              <w:bCs/>
            </w:rPr>
            <w:t>15</w:t>
          </w:r>
          <w:bookmarkEnd w:id="20"/>
          <w:r>
            <w:rPr>
              <w:b/>
              <w:bCs/>
            </w:rPr>
            <w:fldChar w:fldCharType="end"/>
          </w:r>
        </w:p>
        <w:p>
          <w:pPr>
            <w:pStyle w:val="74"/>
            <w:tabs>
              <w:tab w:val="right" w:leader="dot" w:pos="8306"/>
            </w:tabs>
          </w:pPr>
          <w:r>
            <w:rPr>
              <w:b/>
              <w:bCs/>
            </w:rPr>
            <w:fldChar w:fldCharType="begin"/>
          </w:r>
          <w:r>
            <w:instrText xml:space="preserve"> HYPERLINK \l _Toc2126807105_WPSOffice_Level1 </w:instrText>
          </w:r>
          <w:r>
            <w:rPr>
              <w:b/>
              <w:bCs/>
            </w:rPr>
            <w:fldChar w:fldCharType="separate"/>
          </w:r>
          <w:sdt>
            <w:sdtPr>
              <w:rPr>
                <w:rFonts w:asciiTheme="minorAscii" w:hAnsiTheme="minorAscii" w:eastAsiaTheme="minorEastAsia" w:cstheme="minorBidi"/>
                <w:b/>
                <w:bCs/>
                <w:kern w:val="2"/>
                <w:sz w:val="21"/>
                <w:szCs w:val="21"/>
                <w:lang w:val="en-US" w:eastAsia="zh-CN" w:bidi="ar-SA"/>
              </w:rPr>
              <w:id w:val="949710551"/>
              <w:placeholder>
                <w:docPart w:val="{5c8bd2bf-754f-44f5-94c1-76e74cbcb37d}"/>
              </w:placeholder>
              <w15:color w:val="509DF3"/>
            </w:sdtPr>
            <w:sdtEndPr>
              <w:rPr>
                <w:rFonts w:asciiTheme="minorAscii" w:hAnsiTheme="minorAscii" w:eastAsiaTheme="minorEastAsia" w:cstheme="minorBidi"/>
                <w:b/>
                <w:bCs/>
                <w:kern w:val="2"/>
                <w:sz w:val="21"/>
                <w:szCs w:val="21"/>
                <w:lang w:val="en-US" w:eastAsia="zh-CN" w:bidi="ar-SA"/>
              </w:rPr>
            </w:sdtEndPr>
            <w:sdtContent>
              <w:r>
                <w:rPr>
                  <w:rFonts w:ascii="Times New Roman" w:hAnsi="Times New Roman" w:eastAsia="Microsoft YaHei" w:cstheme="minorBidi"/>
                  <w:b/>
                  <w:bCs/>
                </w:rPr>
                <w:t>Awards:</w:t>
              </w:r>
            </w:sdtContent>
          </w:sdt>
          <w:r>
            <w:rPr>
              <w:b/>
              <w:bCs/>
            </w:rPr>
            <w:tab/>
          </w:r>
          <w:r>
            <w:rPr>
              <w:b/>
              <w:bCs/>
            </w:rPr>
            <w:t>16</w:t>
          </w:r>
          <w:r>
            <w:rPr>
              <w:b/>
              <w:bCs/>
            </w:rPr>
            <w:fldChar w:fldCharType="end"/>
          </w:r>
          <w:bookmarkEnd w:id="2"/>
        </w:p>
      </w:sdtContent>
    </w:sdt>
    <w:p>
      <w:pPr>
        <w:rPr>
          <w:rStyle w:val="27"/>
        </w:rPr>
      </w:pPr>
      <w:bookmarkEnd w:id="1"/>
    </w:p>
    <w:p>
      <w:pPr>
        <w:rPr>
          <w:rStyle w:val="27"/>
        </w:rPr>
      </w:pPr>
    </w:p>
    <w:p>
      <w:pPr>
        <w:pStyle w:val="3"/>
        <w:numPr>
          <w:ilvl w:val="1"/>
          <w:numId w:val="0"/>
        </w:numPr>
        <w:bidi w:val="0"/>
        <w:rPr>
          <w:rFonts w:hint="default"/>
        </w:rPr>
      </w:pPr>
      <w:bookmarkStart w:id="21" w:name="_Toc559364871_WPSOffice_Level1"/>
      <w:r>
        <w:rPr>
          <w:rFonts w:hint="default"/>
        </w:rPr>
        <w:t>1.Backgrounds</w:t>
      </w:r>
      <w:bookmarkEnd w:id="21"/>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Since the outbreak of WannaCry, ransomware has been a major security threat to all enterprises and organizations. The industrialization of ransomware has become increasingly mature, and technology continues to evolve. The damage ransomware causes to business and data is almost irrecoverable, while attack scopes have been expanding. . Ransomware has been fine-tuning their primary targets to take advantage of a wide range of enterprises in every industry, meaning the threat of ransomware can not be ignored.</w:t>
      </w:r>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The use of symmetric and asymmetric encryption algorithms for ransomware makes recovery and decryption  more difficult. Ransom payment methods have also begun to combine various digital currencies.</w:t>
      </w:r>
      <w:r>
        <w:rPr>
          <w:rFonts w:ascii="宋体" w:hAnsi="宋体" w:eastAsia="宋体"/>
          <w:color w:val="161616"/>
          <w:sz w:val="24"/>
          <w:szCs w:val="24"/>
          <w:shd w:val="clear" w:color="auto" w:fill="FFFFFF"/>
        </w:rPr>
        <w:t xml:space="preserve"> R</w:t>
      </w:r>
      <w:r>
        <w:rPr>
          <w:rFonts w:ascii="宋体" w:hAnsi="宋体" w:eastAsia="宋体"/>
          <w:color w:val="161616"/>
          <w:sz w:val="24"/>
          <w:szCs w:val="24"/>
          <w:shd w:val="clear" w:color="auto" w:fill="FFFFFF"/>
        </w:rPr>
        <w:t>ansomware becomes industrialized with the advent of customizable ransomware as a service (RaaS), providing criminals with a low-cost, highly customizable ransomware templates that can’t be decrypted, are deployed easily and make production, dissemination and proxying easy and fast.  ,</w:t>
      </w:r>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In view of the current global ransomware crisis,  Sangfor Technologies provides a total-ransomware solution for a wide range of industry users, and  corresponding solutions based on modern network security construction.</w:t>
      </w: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rPr>
          <w:rFonts w:hint="eastAsia" w:ascii="宋体" w:hAnsi="宋体" w:eastAsia="宋体"/>
          <w:color w:val="161616"/>
          <w:sz w:val="24"/>
          <w:szCs w:val="24"/>
          <w:shd w:val="clear" w:color="auto" w:fill="FFFFFF"/>
        </w:rPr>
      </w:pPr>
    </w:p>
    <w:p>
      <w:pPr>
        <w:rPr>
          <w:rFonts w:hint="eastAsia" w:ascii="宋体" w:hAnsi="宋体" w:eastAsia="宋体"/>
          <w:color w:val="161616"/>
          <w:sz w:val="24"/>
          <w:szCs w:val="24"/>
          <w:shd w:val="clear" w:color="auto" w:fill="FFFFFF"/>
        </w:rPr>
      </w:pPr>
    </w:p>
    <w:p>
      <w:pPr>
        <w:rPr>
          <w:rFonts w:hint="eastAsia" w:ascii="宋体" w:hAnsi="宋体" w:eastAsia="宋体"/>
          <w:color w:val="161616"/>
          <w:sz w:val="24"/>
          <w:szCs w:val="24"/>
          <w:shd w:val="clear" w:color="auto" w:fill="FFFFFF"/>
        </w:rPr>
      </w:pPr>
    </w:p>
    <w:p>
      <w:pPr>
        <w:rPr>
          <w:rFonts w:hint="eastAsia" w:ascii="宋体" w:hAnsi="宋体" w:eastAsia="宋体"/>
          <w:color w:val="161616"/>
          <w:sz w:val="24"/>
          <w:szCs w:val="24"/>
          <w:shd w:val="clear" w:color="auto" w:fill="FFFFFF"/>
        </w:rPr>
      </w:pPr>
    </w:p>
    <w:p>
      <w:pPr>
        <w:pStyle w:val="3"/>
        <w:numPr>
          <w:ilvl w:val="1"/>
          <w:numId w:val="0"/>
        </w:numPr>
        <w:bidi w:val="0"/>
      </w:pPr>
      <w:bookmarkStart w:id="22" w:name="_Toc18330178"/>
      <w:bookmarkStart w:id="23" w:name="_Toc1815222563_WPSOffice_Level1"/>
      <w:r>
        <w:t xml:space="preserve">2. </w:t>
      </w:r>
      <w:bookmarkEnd w:id="22"/>
      <w:r>
        <w:t>Rethinking the construction of network security as pertains to Ransomware</w:t>
      </w:r>
      <w:bookmarkEnd w:id="23"/>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Judging from past ransomware incidents and confirmed attacks  on enterprises and organizations, 61% of ransomware attacks spread through RDP blasting, and 21% of ransomware attacks exploited Eternal Blue's high-risk vulnerabilities. A ransomware virus infects a device through  exposed surfaces of the network, and while trying to spread laterally to peripheral devices, it identifies core data and seeks a time node to maximize the benefits and  trigger encryption. Even if the ransomware can be removed after it is deployed, the encrypted data can’t be restored. Therefore, it is necessary to build a comprehensive monitoring and defense response system focused on preventing the propagation and infiltration of ransomware. .</w:t>
      </w:r>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Rransomware affects a wide range of systems,including private networks that are physically separated from the Internet. The main reasons for its success are:</w:t>
      </w:r>
    </w:p>
    <w:p>
      <w:pPr>
        <w:ind w:firstLine="420"/>
        <w:rPr>
          <w:rFonts w:hint="eastAsia" w:ascii="宋体" w:hAnsi="宋体" w:eastAsia="宋体"/>
          <w:color w:val="161616"/>
          <w:sz w:val="24"/>
          <w:szCs w:val="24"/>
          <w:shd w:val="clear" w:color="auto" w:fill="FFFFFF"/>
        </w:rPr>
      </w:pPr>
    </w:p>
    <w:p>
      <w:pPr>
        <w:pStyle w:val="4"/>
        <w:numPr>
          <w:ilvl w:val="2"/>
          <w:numId w:val="0"/>
        </w:numPr>
        <w:bidi w:val="0"/>
      </w:pPr>
      <w:bookmarkStart w:id="24" w:name="_Toc18330179"/>
      <w:bookmarkStart w:id="25" w:name="_Toc1815222563_WPSOffice_Level2"/>
      <w:r>
        <w:t>2.1.</w:t>
      </w:r>
      <w:bookmarkEnd w:id="24"/>
      <w:r>
        <w:t>Traditional security management measures can’t be applied to  new business</w:t>
      </w:r>
      <w:bookmarkEnd w:id="25"/>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As more businesses are founded, more are becoming cloud-based and Internet-based, some have different business operating systems, applications, and middleware , and various protocols and applications with weak passwords at different levels, exposing the network to fewer common risks  and vulnerabilities.As there is no security baseline construction covering new services, various high-risk vulnerabilities continue to emerge.</w:t>
      </w: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ind w:firstLine="420"/>
        <w:rPr>
          <w:rFonts w:hint="eastAsia" w:ascii="宋体" w:hAnsi="宋体" w:eastAsia="宋体"/>
          <w:color w:val="161616"/>
          <w:sz w:val="24"/>
          <w:szCs w:val="24"/>
          <w:shd w:val="clear" w:color="auto" w:fill="FFFFFF"/>
        </w:rPr>
      </w:pPr>
    </w:p>
    <w:p>
      <w:pPr>
        <w:pStyle w:val="4"/>
        <w:numPr>
          <w:ilvl w:val="2"/>
          <w:numId w:val="0"/>
        </w:numPr>
        <w:bidi w:val="0"/>
      </w:pPr>
      <w:bookmarkStart w:id="26" w:name="_Toc18330180"/>
      <w:bookmarkStart w:id="27" w:name="_Toc1292927059_WPSOffice_Level2"/>
      <w:r>
        <w:t xml:space="preserve">2.2. </w:t>
      </w:r>
      <w:bookmarkEnd w:id="26"/>
      <w:r>
        <w:t>Configuring an overly complex security system strategy</w:t>
      </w:r>
      <w:bookmarkEnd w:id="27"/>
    </w:p>
    <w:p>
      <w:pPr>
        <w:ind w:firstLine="420"/>
        <w:rPr>
          <w:rFonts w:hint="eastAsia" w:ascii="宋体" w:hAnsi="宋体" w:eastAsia="宋体"/>
          <w:color w:val="161616"/>
          <w:sz w:val="24"/>
          <w:szCs w:val="24"/>
          <w:shd w:val="clear" w:color="auto" w:fill="FFFFFF"/>
        </w:rPr>
      </w:pPr>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 xml:space="preserve">Among users affected byransomware , there are also users with relatively high security investment and complete equipment purchases, with many high-risk services which must be enabled. With frequent business changes and the replacement of operation and maintenance personnel, the security management of borders and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s cannot be refined management and control while exposing high-risk services, causing stacked security devices to become useless. It is necessary to provide best-practice configuration of </w:t>
      </w:r>
      <w:r>
        <w:rPr>
          <w:rFonts w:ascii="宋体" w:hAnsi="宋体" w:eastAsia="宋体"/>
          <w:color w:val="161616"/>
          <w:sz w:val="24"/>
          <w:szCs w:val="24"/>
        </w:rPr>
        <w:t xml:space="preserve">multiple integrated security systems </w:t>
      </w:r>
      <w:r>
        <w:rPr>
          <w:rFonts w:ascii="宋体" w:hAnsi="宋体" w:eastAsia="宋体"/>
          <w:color w:val="161616"/>
          <w:sz w:val="24"/>
          <w:szCs w:val="24"/>
          <w:shd w:val="clear" w:color="auto" w:fill="FFFFFF"/>
        </w:rPr>
        <w:t>s to combat mainstream threats like ransomware, combine  exclusive protection capabilities and  comprehensive protection with adaptive services.</w:t>
      </w:r>
    </w:p>
    <w:p>
      <w:pPr>
        <w:pStyle w:val="4"/>
        <w:numPr>
          <w:numId w:val="0"/>
        </w:numPr>
        <w:bidi w:val="0"/>
      </w:pPr>
      <w:bookmarkStart w:id="28" w:name="_Toc1985540267_WPSOffice_Level2"/>
    </w:p>
    <w:p>
      <w:pPr>
        <w:pStyle w:val="4"/>
        <w:numPr>
          <w:numId w:val="0"/>
        </w:numPr>
        <w:bidi w:val="0"/>
      </w:pPr>
      <w:r>
        <w:t xml:space="preserve">2.3 Lack of in-depth   boundary and </w:t>
      </w:r>
      <w:bookmarkEnd w:id="28"/>
      <w:r>
        <w:t>endpoint</w:t>
      </w:r>
      <w:r>
        <w:t xml:space="preserve"> monitoring</w:t>
      </w:r>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 xml:space="preserve">Ransomwarespreads horizontally before it breaks out. As ransomware technology continues to evolve, viruses have begun to use hidden tunnels, variants and packers, DGA dynamic domain name algorithms, fileless attacks, and other countermeasures to avoid detection. In-depth detection is required at endpoints and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s, providing the ability to monitor and coordinate evidence, locate the source of the attack, prevent the ransomwarefrom escaping and continuing to spread, and finally developing into a security incident.</w:t>
      </w:r>
    </w:p>
    <w:p>
      <w:pPr>
        <w:ind w:firstLine="420"/>
        <w:rPr>
          <w:rFonts w:hint="eastAsia" w:ascii="宋体" w:hAnsi="宋体" w:eastAsia="宋体"/>
          <w:color w:val="161616"/>
          <w:sz w:val="24"/>
          <w:szCs w:val="24"/>
          <w:shd w:val="clear" w:color="auto" w:fill="FFFFFF"/>
        </w:rPr>
      </w:pPr>
      <w:r>
        <w:drawing>
          <wp:inline distT="0" distB="0" distL="114300" distR="114300">
            <wp:extent cx="4570095" cy="2235835"/>
            <wp:effectExtent l="0" t="0" r="0" b="0"/>
            <wp:docPr id="29" name="Google Shape;420;p11"/>
            <wp:cNvGraphicFramePr/>
            <a:graphic xmlns:a="http://schemas.openxmlformats.org/drawingml/2006/main">
              <a:graphicData uri="http://schemas.openxmlformats.org/drawingml/2006/picture">
                <pic:pic xmlns:pic="http://schemas.openxmlformats.org/drawingml/2006/picture">
                  <pic:nvPicPr>
                    <pic:cNvPr id="29" name="Google Shape;420;p11"/>
                    <pic:cNvPicPr/>
                  </pic:nvPicPr>
                  <pic:blipFill>
                    <a:blip r:embed="rId6">
                      <a:extLst>
                        <a:ext uri="{28A0092B-C50C-407E-A947-70E740481C1C}">
                          <a14:useLocalDpi xmlns:a14="http://schemas.microsoft.com/office/drawing/2010/main" val="0"/>
                        </a:ext>
                      </a:extLst>
                    </a:blip>
                    <a:stretch>
                      <a:fillRect/>
                    </a:stretch>
                  </pic:blipFill>
                  <pic:spPr>
                    <a:xfrm>
                      <a:off x="0" y="0"/>
                      <a:ext cx="4570095" cy="2235835"/>
                    </a:xfrm>
                    <a:prstGeom prst="rect">
                      <a:avLst/>
                    </a:prstGeom>
                  </pic:spPr>
                </pic:pic>
              </a:graphicData>
            </a:graphic>
          </wp:inline>
        </w:drawing>
      </w:r>
    </w:p>
    <w:p>
      <w:pPr>
        <w:ind w:firstLine="420"/>
        <w:rPr>
          <w:rFonts w:hint="eastAsia" w:ascii="宋体" w:hAnsi="宋体" w:eastAsia="宋体"/>
          <w:color w:val="161616"/>
          <w:sz w:val="24"/>
          <w:szCs w:val="24"/>
          <w:shd w:val="clear" w:color="auto" w:fill="FFFFFF"/>
        </w:rPr>
      </w:pPr>
    </w:p>
    <w:p>
      <w:pPr>
        <w:pStyle w:val="4"/>
        <w:numPr>
          <w:ilvl w:val="2"/>
          <w:numId w:val="0"/>
        </w:numPr>
        <w:bidi w:val="0"/>
      </w:pPr>
      <w:bookmarkStart w:id="29" w:name="_Toc18330182"/>
      <w:bookmarkStart w:id="30" w:name="_Toc1226876736_WPSOffice_Level2"/>
      <w:r>
        <w:t xml:space="preserve">2.4. </w:t>
      </w:r>
      <w:bookmarkEnd w:id="29"/>
      <w:r>
        <w:t>Difficult &amp; Confusing  Response</w:t>
      </w:r>
      <w:bookmarkEnd w:id="30"/>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 xml:space="preserve">Under normal circumstances, ransomware has a clear goal and will only trigger encryption when it comes into contact with core data or key business systems. There is a lack of effective solutions adept at dealing with suspicious incidents and compromised hosts on the network, making location of the virus difficult or impossible. </w:t>
      </w:r>
    </w:p>
    <w:p/>
    <w:p>
      <w:pPr>
        <w:rPr>
          <w:rFonts w:hint="eastAsia" w:ascii="宋体" w:hAnsi="宋体" w:eastAsia="宋体"/>
          <w:color w:val="161616"/>
          <w:sz w:val="24"/>
          <w:szCs w:val="24"/>
          <w:shd w:val="clear" w:color="auto" w:fill="FFFFFF"/>
        </w:rPr>
      </w:pPr>
    </w:p>
    <w:p>
      <w:pPr>
        <w:pStyle w:val="3"/>
        <w:numPr>
          <w:ilvl w:val="1"/>
          <w:numId w:val="0"/>
        </w:numPr>
        <w:bidi w:val="0"/>
      </w:pPr>
      <w:bookmarkStart w:id="31" w:name="_Toc1292927059_WPSOffice_Level1"/>
      <w:r>
        <w:t>3. Sangfor Ransomware Solution:</w:t>
      </w:r>
      <w:bookmarkEnd w:id="31"/>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 xml:space="preserve"> Sangfor’s ransomware solution was designed based on detailed analysis of ransomware incidents, Sangfor provides assistance before, during and after ransomware incidents, and a ransomware processing center to track ransomware countermeasures.</w:t>
      </w:r>
    </w:p>
    <w:p>
      <w:pPr>
        <w:pStyle w:val="73"/>
        <w:spacing w:before="240"/>
        <w:jc w:val="both"/>
      </w:pPr>
    </w:p>
    <w:p>
      <w:pPr>
        <w:pStyle w:val="4"/>
        <w:numPr>
          <w:ilvl w:val="2"/>
          <w:numId w:val="0"/>
        </w:numPr>
        <w:bidi w:val="0"/>
        <w:rPr>
          <w:lang w:val="en-US"/>
        </w:rPr>
      </w:pPr>
      <w:bookmarkStart w:id="32" w:name="_Toc18330184"/>
      <w:bookmarkStart w:id="33" w:name="_Toc2126807105_WPSOffice_Level2"/>
      <w:r>
        <w:t>3.1.</w:t>
      </w:r>
      <w:bookmarkEnd w:id="32"/>
      <w:r>
        <w:t>Pre-incident risk assessment of the boundaries and endpoint</w:t>
      </w:r>
      <w:bookmarkEnd w:id="33"/>
    </w:p>
    <w:p>
      <w:pPr>
        <w:ind w:firstLine="420"/>
        <w:rPr>
          <w:rFonts w:ascii="仿宋" w:hAnsi="仿宋" w:eastAsia="仿宋"/>
          <w:sz w:val="28"/>
          <w:szCs w:val="28"/>
        </w:rPr>
      </w:pPr>
      <w:r>
        <w:rPr>
          <w:rFonts w:ascii="宋体" w:hAnsi="宋体" w:eastAsia="宋体"/>
          <w:color w:val="161616"/>
          <w:sz w:val="24"/>
          <w:szCs w:val="24"/>
          <w:shd w:val="clear" w:color="auto" w:fill="FFFFFF"/>
        </w:rPr>
        <w:t xml:space="preserve">Sangfor’s solution discovers any vulnerabilities in the boundaries and network endpoints like device services, ports, high-risk vulnerabilities, weak passwords, weak device security policies and related configuration checks on the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side, high-risk vulnerabilities in systems and applications, and rrefers to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security baselines to block the entry of ransomware.</w:t>
      </w:r>
    </w:p>
    <w:p>
      <w:pPr>
        <w:jc w:val="left"/>
        <w:rPr>
          <w:rFonts w:ascii="仿宋" w:hAnsi="仿宋" w:eastAsia="仿宋"/>
          <w:sz w:val="28"/>
          <w:szCs w:val="28"/>
        </w:rPr>
      </w:pPr>
      <w:r>
        <w:drawing>
          <wp:inline distT="0" distB="0" distL="114300" distR="114300">
            <wp:extent cx="5535930" cy="2585085"/>
            <wp:effectExtent l="0" t="0" r="1270" b="571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535930" cy="2585085"/>
                    </a:xfrm>
                    <a:prstGeom prst="rect">
                      <a:avLst/>
                    </a:prstGeom>
                  </pic:spPr>
                </pic:pic>
              </a:graphicData>
            </a:graphic>
          </wp:inline>
        </w:drawing>
      </w:r>
    </w:p>
    <w:p>
      <w:pPr>
        <w:rPr>
          <w:rFonts w:ascii="仿宋" w:hAnsi="仿宋" w:eastAsia="仿宋"/>
          <w:sz w:val="28"/>
          <w:szCs w:val="28"/>
        </w:rPr>
      </w:pPr>
    </w:p>
    <w:p>
      <w:pPr>
        <w:pStyle w:val="4"/>
        <w:numPr>
          <w:ilvl w:val="2"/>
          <w:numId w:val="0"/>
        </w:numPr>
        <w:bidi w:val="0"/>
      </w:pPr>
      <w:bookmarkStart w:id="34" w:name="_Toc18330185"/>
      <w:bookmarkStart w:id="35" w:name="_Toc381709420_WPSOffice_Level2"/>
      <w:r>
        <w:t xml:space="preserve">3.2.Mid-incident </w:t>
      </w:r>
      <w:bookmarkEnd w:id="34"/>
      <w:r>
        <w:t>defense against ransomware</w:t>
      </w:r>
      <w:bookmarkEnd w:id="35"/>
    </w:p>
    <w:p>
      <w:pPr>
        <w:ind w:firstLine="420"/>
      </w:pPr>
      <w:r>
        <w:rPr>
          <w:rFonts w:ascii="宋体" w:hAnsi="宋体" w:eastAsia="宋体"/>
          <w:color w:val="161616"/>
          <w:sz w:val="24"/>
          <w:szCs w:val="24"/>
          <w:shd w:val="clear" w:color="auto" w:fill="FFFFFF"/>
        </w:rPr>
        <w:t xml:space="preserve">Ransomware attempts to escape security equipment defense methods by  lurking in the network for a long period of time, performing low-frequency blasting and distributed blasting. It is difficult for traditional security equipment to defend against attacks employing statistical frequency distribution. </w:t>
      </w:r>
    </w:p>
    <w:p>
      <w:pPr>
        <w:jc w:val="both"/>
        <w:rPr>
          <w:rFonts w:ascii="宋体" w:hAnsi="宋体" w:eastAsia="宋体"/>
          <w:color w:val="161616"/>
          <w:sz w:val="24"/>
          <w:szCs w:val="24"/>
          <w:shd w:val="clear" w:color="auto" w:fill="FFFFFF"/>
        </w:rPr>
      </w:pPr>
      <w:r>
        <w:drawing>
          <wp:inline distT="0" distB="0" distL="114300" distR="114300">
            <wp:extent cx="5506085" cy="1812290"/>
            <wp:effectExtent l="12700" t="12700" r="18415" b="29210"/>
            <wp:docPr id="9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33"/>
                    <pic:cNvPicPr>
                      <a:picLocks noChangeAspect="1"/>
                    </pic:cNvPicPr>
                  </pic:nvPicPr>
                  <pic:blipFill>
                    <a:blip r:embed="rId8"/>
                    <a:stretch>
                      <a:fillRect/>
                    </a:stretch>
                  </pic:blipFill>
                  <pic:spPr>
                    <a:xfrm>
                      <a:off x="0" y="0"/>
                      <a:ext cx="5506085" cy="1812290"/>
                    </a:xfrm>
                    <a:prstGeom prst="rect">
                      <a:avLst/>
                    </a:prstGeom>
                    <a:ln>
                      <a:solidFill>
                        <a:srgbClr val="00B0F0"/>
                      </a:solidFill>
                    </a:ln>
                  </pic:spPr>
                </pic:pic>
              </a:graphicData>
            </a:graphic>
          </wp:inline>
        </w:drawing>
      </w:r>
    </w:p>
    <w:p>
      <w:pPr>
        <w:ind w:firstLine="420"/>
        <w:jc w:val="center"/>
        <w:rPr>
          <w:rFonts w:ascii="宋体" w:hAnsi="宋体" w:eastAsia="宋体"/>
          <w:color w:val="161616"/>
          <w:sz w:val="24"/>
          <w:szCs w:val="24"/>
          <w:shd w:val="clear" w:color="auto" w:fill="FFFFFF"/>
        </w:rPr>
      </w:pPr>
    </w:p>
    <w:p>
      <w:pPr>
        <w:ind w:firstLine="420"/>
        <w:jc w:val="center"/>
        <w:rPr>
          <w:rFonts w:ascii="宋体" w:hAnsi="宋体" w:eastAsia="宋体"/>
          <w:color w:val="161616"/>
          <w:sz w:val="24"/>
          <w:szCs w:val="24"/>
          <w:shd w:val="clear" w:color="auto" w:fill="FFFFFF"/>
        </w:rPr>
      </w:pPr>
    </w:p>
    <w:p>
      <w:pPr>
        <w:ind w:firstLine="420"/>
        <w:jc w:val="center"/>
        <w:rPr>
          <w:rFonts w:ascii="宋体" w:hAnsi="宋体" w:eastAsia="宋体"/>
          <w:color w:val="161616"/>
          <w:sz w:val="24"/>
          <w:szCs w:val="24"/>
          <w:shd w:val="clear" w:color="auto" w:fill="FFFFFF"/>
        </w:rPr>
      </w:pPr>
    </w:p>
    <w:p>
      <w:pPr>
        <w:ind w:firstLine="420"/>
        <w:jc w:val="center"/>
        <w:rPr>
          <w:rFonts w:ascii="宋体" w:hAnsi="宋体" w:eastAsia="宋体"/>
          <w:color w:val="161616"/>
          <w:sz w:val="24"/>
          <w:szCs w:val="24"/>
          <w:shd w:val="clear" w:color="auto" w:fill="FFFFFF"/>
        </w:rPr>
      </w:pPr>
    </w:p>
    <w:p>
      <w:pPr>
        <w:ind w:firstLine="420"/>
        <w:jc w:val="center"/>
        <w:rPr>
          <w:rFonts w:ascii="宋体" w:hAnsi="宋体" w:eastAsia="宋体"/>
          <w:color w:val="161616"/>
          <w:sz w:val="24"/>
          <w:szCs w:val="24"/>
          <w:shd w:val="clear" w:color="auto" w:fill="FFFFFF"/>
        </w:rPr>
      </w:pPr>
    </w:p>
    <w:p>
      <w:pPr>
        <w:ind w:firstLine="420"/>
        <w:jc w:val="center"/>
        <w:rPr>
          <w:rFonts w:ascii="宋体" w:hAnsi="宋体" w:eastAsia="宋体"/>
          <w:color w:val="161616"/>
          <w:sz w:val="24"/>
          <w:szCs w:val="24"/>
          <w:shd w:val="clear" w:color="auto" w:fill="FFFFFF"/>
        </w:rPr>
      </w:pPr>
    </w:p>
    <w:p>
      <w:pPr>
        <w:ind w:firstLine="420"/>
        <w:jc w:val="center"/>
        <w:rPr>
          <w:rFonts w:ascii="宋体" w:hAnsi="宋体" w:eastAsia="宋体"/>
          <w:color w:val="161616"/>
          <w:sz w:val="24"/>
          <w:szCs w:val="24"/>
          <w:shd w:val="clear" w:color="auto" w:fill="FFFFFF"/>
        </w:rPr>
      </w:pPr>
    </w:p>
    <w:p>
      <w:pPr>
        <w:pStyle w:val="4"/>
        <w:numPr>
          <w:ilvl w:val="2"/>
          <w:numId w:val="0"/>
        </w:numPr>
        <w:bidi w:val="0"/>
      </w:pPr>
      <w:bookmarkStart w:id="36" w:name="_Toc18330186"/>
      <w:bookmarkStart w:id="37" w:name="_Toc856568351_WPSOffice_Level2"/>
      <w:r>
        <w:t>3.3. Post incident</w:t>
      </w:r>
      <w:bookmarkEnd w:id="36"/>
      <w:r>
        <w:t>comprehensive  inspection</w:t>
      </w:r>
      <w:bookmarkEnd w:id="37"/>
    </w:p>
    <w:p>
      <w:pPr>
        <w:ind w:firstLine="420"/>
      </w:pPr>
      <w:r>
        <w:rPr>
          <w:rFonts w:ascii="宋体" w:hAnsi="宋体" w:eastAsia="宋体"/>
          <w:color w:val="161616"/>
          <w:sz w:val="24"/>
          <w:szCs w:val="24"/>
          <w:shd w:val="clear" w:color="auto" w:fill="FFFFFF"/>
        </w:rPr>
        <w:t xml:space="preserve">Through  in-depth inspection of  traffic at endpoints, problematic devices  are identified and process-level file detectionis carried out on the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side. The border locates the lost host and proves the network behavior. </w:t>
      </w:r>
      <w:r>
        <w:drawing>
          <wp:inline distT="0" distB="0" distL="114300" distR="114300">
            <wp:extent cx="4916805" cy="2437765"/>
            <wp:effectExtent l="12700" t="12700" r="23495" b="13335"/>
            <wp:docPr id="48" name="图片 2" descr="流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 descr="流量"/>
                    <pic:cNvPicPr>
                      <a:picLocks noChangeAspect="1"/>
                    </pic:cNvPicPr>
                  </pic:nvPicPr>
                  <pic:blipFill>
                    <a:blip r:embed="rId9"/>
                    <a:stretch>
                      <a:fillRect/>
                    </a:stretch>
                  </pic:blipFill>
                  <pic:spPr>
                    <a:xfrm>
                      <a:off x="0" y="0"/>
                      <a:ext cx="4916805" cy="2437765"/>
                    </a:xfrm>
                    <a:prstGeom prst="rect">
                      <a:avLst/>
                    </a:prstGeom>
                    <a:noFill/>
                    <a:ln w="12700">
                      <a:solidFill>
                        <a:srgbClr val="00B0F0"/>
                      </a:solidFill>
                    </a:ln>
                  </pic:spPr>
                </pic:pic>
              </a:graphicData>
            </a:graphic>
          </wp:inline>
        </w:drawing>
      </w:r>
    </w:p>
    <w:p>
      <w:pPr>
        <w:ind w:firstLine="420"/>
      </w:pPr>
    </w:p>
    <w:p>
      <w:pPr>
        <w:pStyle w:val="4"/>
        <w:numPr>
          <w:ilvl w:val="2"/>
          <w:numId w:val="0"/>
        </w:numPr>
        <w:bidi w:val="0"/>
      </w:pPr>
      <w:bookmarkStart w:id="38" w:name="_Toc18330187"/>
      <w:bookmarkStart w:id="39" w:name="_Toc1761389416_WPSOffice_Level2"/>
      <w:r>
        <w:t xml:space="preserve">3.4. </w:t>
      </w:r>
      <w:bookmarkEnd w:id="38"/>
      <w:r>
        <w:t>Ransomware Disposal Center</w:t>
      </w:r>
      <w:bookmarkEnd w:id="39"/>
    </w:p>
    <w:p>
      <w:pPr>
        <w:ind w:firstLine="420"/>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Sangfor’s solution tracks the full life-cycle of each ransomware event, and provides effective disposal methods through Sangfor NGAF, which provides one-click disposal of vulnerabilities, with the disposal status clearly visible through the reporting center.</w:t>
      </w:r>
    </w:p>
    <w:p>
      <w:pPr>
        <w:jc w:val="center"/>
      </w:pPr>
    </w:p>
    <w:p>
      <w:pPr>
        <w:pStyle w:val="2"/>
        <w:numPr>
          <w:ilvl w:val="0"/>
          <w:numId w:val="0"/>
        </w:numPr>
        <w:ind w:leftChars="0"/>
        <w:rPr>
          <w:rFonts w:hint="default"/>
        </w:rPr>
      </w:pPr>
      <w:r>
        <w:drawing>
          <wp:inline distT="0" distB="0" distL="114300" distR="114300">
            <wp:extent cx="5320665" cy="2179320"/>
            <wp:effectExtent l="12700" t="12700" r="26035" b="17780"/>
            <wp:docPr id="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16"/>
                    <pic:cNvPicPr>
                      <a:picLocks noChangeAspect="1"/>
                    </pic:cNvPicPr>
                  </pic:nvPicPr>
                  <pic:blipFill>
                    <a:blip r:embed="rId10"/>
                    <a:stretch>
                      <a:fillRect/>
                    </a:stretch>
                  </pic:blipFill>
                  <pic:spPr>
                    <a:xfrm>
                      <a:off x="0" y="0"/>
                      <a:ext cx="5320665" cy="2179320"/>
                    </a:xfrm>
                    <a:prstGeom prst="rect">
                      <a:avLst/>
                    </a:prstGeom>
                    <a:ln w="12700">
                      <a:solidFill>
                        <a:srgbClr val="00B0F0"/>
                      </a:solidFill>
                    </a:ln>
                  </pic:spPr>
                </pic:pic>
              </a:graphicData>
            </a:graphic>
          </wp:inline>
        </w:drawing>
      </w:r>
    </w:p>
    <w:p>
      <w:pPr>
        <w:pStyle w:val="3"/>
        <w:numPr>
          <w:ilvl w:val="1"/>
          <w:numId w:val="0"/>
        </w:numPr>
        <w:bidi w:val="0"/>
        <w:rPr>
          <w:rFonts w:hint="default"/>
        </w:rPr>
      </w:pPr>
    </w:p>
    <w:p>
      <w:pPr>
        <w:pStyle w:val="3"/>
        <w:numPr>
          <w:ilvl w:val="1"/>
          <w:numId w:val="0"/>
        </w:numPr>
        <w:bidi w:val="0"/>
        <w:rPr>
          <w:rFonts w:hint="default"/>
        </w:rPr>
      </w:pPr>
    </w:p>
    <w:p>
      <w:pPr>
        <w:pStyle w:val="3"/>
        <w:numPr>
          <w:ilvl w:val="1"/>
          <w:numId w:val="0"/>
        </w:numPr>
        <w:bidi w:val="0"/>
      </w:pPr>
      <w:bookmarkStart w:id="40" w:name="_Toc1985540267_WPSOffice_Level1"/>
      <w:r>
        <w:rPr>
          <w:rFonts w:hint="default"/>
        </w:rPr>
        <w:t>4. Product value:</w:t>
      </w:r>
      <w:bookmarkEnd w:id="40"/>
    </w:p>
    <w:p>
      <w:pPr>
        <w:ind w:firstLine="403"/>
      </w:pPr>
      <w:r>
        <w:rPr>
          <w:rFonts w:ascii="宋体" w:hAnsi="宋体" w:eastAsia="宋体"/>
          <w:color w:val="161616"/>
          <w:sz w:val="24"/>
          <w:szCs w:val="24"/>
          <w:shd w:val="clear" w:color="auto" w:fill="FFFFFF"/>
        </w:rPr>
        <w:t xml:space="preserve">Sangfor NGAF provides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response and detection, and uses Endpoint Secure and Cyber Command, combined with cloud security capabilities and Engine Zero,  to give users  comprehensive security protection capabilities  by integrating security and simplicity.</w:t>
      </w:r>
    </w:p>
    <w:p>
      <w:pPr>
        <w:jc w:val="center"/>
      </w:pPr>
    </w:p>
    <w:p>
      <w:pPr>
        <w:pStyle w:val="4"/>
        <w:numPr>
          <w:ilvl w:val="2"/>
          <w:numId w:val="0"/>
        </w:numPr>
        <w:bidi w:val="0"/>
      </w:pPr>
      <w:bookmarkStart w:id="41" w:name="_Toc609840817_WPSOffice_Level2"/>
      <w:bookmarkStart w:id="42" w:name="_Toc18330189"/>
      <w:r>
        <w:t>4.1. Sangfor NGAF</w:t>
      </w:r>
      <w:bookmarkEnd w:id="41"/>
      <w:bookmarkEnd w:id="42"/>
    </w:p>
    <w:p>
      <w:pPr>
        <w:ind w:firstLine="403"/>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 xml:space="preserve">Sangfor NGAF  identifies  risks and implements isolation measures for endpoints, and performs in-depth detection of traffic entering and leaving the network. Linking NGAF with Sangfor’s other intelligent systems like Endpoint Secure improves protection capabilities,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detection and response, risk identification, in-depth detection, isolation control, and threat removal capabilities. Cloud security capabilities</w:t>
      </w:r>
      <w:r>
        <w:rPr>
          <w:rFonts w:ascii="宋体" w:hAnsi="宋体" w:eastAsia="宋体"/>
          <w:color w:val="161616"/>
          <w:sz w:val="24"/>
          <w:szCs w:val="24"/>
          <w:shd w:val="clear" w:color="auto" w:fill="FFFFFF"/>
        </w:rPr>
        <w:t xml:space="preserve"> </w:t>
      </w:r>
      <w:r>
        <w:rPr>
          <w:rFonts w:ascii="宋体" w:hAnsi="宋体" w:eastAsia="宋体"/>
          <w:color w:val="161616"/>
          <w:sz w:val="24"/>
          <w:szCs w:val="24"/>
          <w:shd w:val="clear" w:color="auto" w:fill="FFFFFF"/>
        </w:rPr>
        <w:t>and</w:t>
      </w:r>
      <w:r>
        <w:rPr>
          <w:rFonts w:ascii="宋体" w:hAnsi="宋体" w:eastAsia="宋体"/>
          <w:color w:val="161616"/>
          <w:sz w:val="24"/>
          <w:szCs w:val="24"/>
          <w:shd w:val="clear" w:color="auto" w:fill="FFFFFF"/>
        </w:rPr>
        <w:t xml:space="preserve"> </w:t>
      </w:r>
      <w:r>
        <w:rPr>
          <w:rFonts w:ascii="宋体" w:hAnsi="宋体" w:eastAsia="宋体"/>
          <w:color w:val="161616"/>
          <w:sz w:val="24"/>
          <w:szCs w:val="24"/>
          <w:shd w:val="clear" w:color="auto" w:fill="FFFFFF"/>
        </w:rPr>
        <w:t>threat intelligence captured</w:t>
      </w:r>
      <w:r>
        <w:rPr>
          <w:rFonts w:ascii="宋体" w:hAnsi="宋体" w:eastAsia="宋体"/>
          <w:color w:val="161616"/>
          <w:sz w:val="24"/>
          <w:szCs w:val="24"/>
          <w:shd w:val="clear" w:color="auto" w:fill="FFFFFF"/>
        </w:rPr>
        <w:t>.</w:t>
      </w:r>
      <w:r>
        <w:rPr>
          <w:rFonts w:ascii="宋体" w:hAnsi="宋体" w:eastAsia="宋体"/>
          <w:color w:val="161616"/>
          <w:sz w:val="24"/>
          <w:szCs w:val="24"/>
          <w:shd w:val="clear" w:color="auto" w:fill="FFFFFF"/>
        </w:rPr>
        <w:t xml:space="preserve"> The border and the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provide evidence for each other, and cloud intelligence assists in the determination to locate the real source of the attack.</w:t>
      </w:r>
    </w:p>
    <w:p>
      <w:pPr>
        <w:rPr>
          <w:rFonts w:ascii="宋体" w:hAnsi="宋体" w:eastAsia="宋体"/>
          <w:color w:val="161616"/>
          <w:sz w:val="24"/>
          <w:szCs w:val="24"/>
          <w:shd w:val="clear" w:color="auto" w:fill="FFFFFF"/>
        </w:rPr>
      </w:pPr>
      <w:r>
        <w:drawing>
          <wp:inline distT="0" distB="0" distL="114300" distR="114300">
            <wp:extent cx="5266690" cy="2441575"/>
            <wp:effectExtent l="22225" t="22225" r="45085" b="25400"/>
            <wp:docPr id="658" name="Google Shape;658;p16"/>
            <wp:cNvGraphicFramePr/>
            <a:graphic xmlns:a="http://schemas.openxmlformats.org/drawingml/2006/main">
              <a:graphicData uri="http://schemas.openxmlformats.org/drawingml/2006/picture">
                <pic:pic xmlns:pic="http://schemas.openxmlformats.org/drawingml/2006/picture">
                  <pic:nvPicPr>
                    <pic:cNvPr id="658" name="Google Shape;658;p16"/>
                    <pic:cNvPicPr preferRelativeResize="0"/>
                  </pic:nvPicPr>
                  <pic:blipFill>
                    <a:blip r:embed="rId11"/>
                    <a:srcRect/>
                    <a:stretch>
                      <a:fillRect/>
                    </a:stretch>
                  </pic:blipFill>
                  <pic:spPr>
                    <a:xfrm>
                      <a:off x="0" y="0"/>
                      <a:ext cx="5266690" cy="2441575"/>
                    </a:xfrm>
                    <a:prstGeom prst="rect">
                      <a:avLst/>
                    </a:prstGeom>
                    <a:noFill/>
                    <a:ln w="22225" cap="flat" cmpd="sng">
                      <a:solidFill>
                        <a:srgbClr val="00B0F0"/>
                      </a:solidFill>
                      <a:prstDash val="solid"/>
                      <a:round/>
                      <a:headEnd type="none" w="sm" len="sm"/>
                      <a:tailEnd type="none" w="sm" len="sm"/>
                    </a:ln>
                  </pic:spPr>
                </pic:pic>
              </a:graphicData>
            </a:graphic>
          </wp:inline>
        </w:drawing>
      </w:r>
    </w:p>
    <w:p>
      <w:pPr>
        <w:pStyle w:val="4"/>
        <w:numPr>
          <w:ilvl w:val="2"/>
          <w:numId w:val="0"/>
        </w:numPr>
        <w:bidi w:val="0"/>
        <w:rPr>
          <w:rFonts w:hint="eastAsia"/>
        </w:rPr>
      </w:pPr>
      <w:bookmarkStart w:id="43" w:name="_Toc18330190"/>
    </w:p>
    <w:p>
      <w:pPr>
        <w:pStyle w:val="4"/>
        <w:numPr>
          <w:ilvl w:val="2"/>
          <w:numId w:val="0"/>
        </w:numPr>
        <w:bidi w:val="0"/>
      </w:pPr>
      <w:bookmarkStart w:id="44" w:name="_Toc1802647835_WPSOffice_Level2"/>
      <w:r>
        <w:t xml:space="preserve">4.2. Sangfor Endpoint </w:t>
      </w:r>
      <w:bookmarkEnd w:id="43"/>
      <w:r>
        <w:t>Secure</w:t>
      </w:r>
      <w:bookmarkEnd w:id="44"/>
    </w:p>
    <w:p>
      <w:pPr>
        <w:ind w:firstLine="403"/>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ab/>
      </w:r>
      <w:r>
        <w:rPr>
          <w:rFonts w:ascii="宋体" w:hAnsi="宋体" w:eastAsia="宋体"/>
          <w:color w:val="161616"/>
          <w:sz w:val="24"/>
          <w:szCs w:val="24"/>
          <w:shd w:val="clear" w:color="auto" w:fill="FFFFFF"/>
        </w:rPr>
        <w:t xml:space="preserve">Sangfor Endpoint Secure iidentifies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vulnerabilities performs security baseline inspections, and protects East-West trafficthrough micro-isolation, to combat  fileless and featureless ransomwarevariants. The processing of ransomware provides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-side process-level detection, defense, and processing capabilities.</w:t>
      </w:r>
    </w:p>
    <w:p>
      <w:pPr>
        <w:rPr>
          <w:rFonts w:ascii="宋体" w:hAnsi="宋体" w:eastAsia="宋体"/>
          <w:color w:val="161616"/>
          <w:sz w:val="24"/>
          <w:szCs w:val="24"/>
          <w:shd w:val="clear" w:color="auto" w:fill="FFFFFF"/>
        </w:rPr>
      </w:pPr>
      <w:r>
        <w:drawing>
          <wp:inline distT="0" distB="0" distL="114300" distR="114300">
            <wp:extent cx="5442585" cy="2452370"/>
            <wp:effectExtent l="0" t="0" r="18415" b="1143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442585" cy="2452370"/>
                    </a:xfrm>
                    <a:prstGeom prst="rect">
                      <a:avLst/>
                    </a:prstGeom>
                  </pic:spPr>
                </pic:pic>
              </a:graphicData>
            </a:graphic>
          </wp:inline>
        </w:drawing>
      </w:r>
    </w:p>
    <w:p>
      <w:pPr>
        <w:pStyle w:val="73"/>
        <w:spacing w:before="240"/>
        <w:jc w:val="center"/>
        <w:rPr>
          <w:rFonts w:ascii="宋体" w:hAnsi="宋体"/>
        </w:rPr>
      </w:pPr>
    </w:p>
    <w:p>
      <w:pPr>
        <w:pStyle w:val="4"/>
        <w:numPr>
          <w:ilvl w:val="2"/>
          <w:numId w:val="0"/>
        </w:numPr>
        <w:bidi w:val="0"/>
        <w:rPr>
          <w:lang w:val="en-US"/>
        </w:rPr>
      </w:pPr>
      <w:bookmarkStart w:id="45" w:name="_Toc18330191"/>
      <w:bookmarkStart w:id="46" w:name="_Toc402870969_WPSOffice_Level2"/>
      <w:r>
        <w:t>4.3.</w:t>
      </w:r>
      <w:bookmarkEnd w:id="45"/>
      <w:r>
        <w:t>Sangfor Cyber Command:</w:t>
      </w:r>
      <w:bookmarkEnd w:id="46"/>
    </w:p>
    <w:p>
      <w:pPr>
        <w:ind w:firstLine="403"/>
        <w:rPr>
          <w:rFonts w:ascii="宋体" w:hAnsi="宋体"/>
        </w:rPr>
      </w:pPr>
      <w:r>
        <w:rPr>
          <w:rFonts w:ascii="宋体" w:hAnsi="宋体" w:eastAsia="宋体"/>
          <w:color w:val="161616"/>
          <w:sz w:val="24"/>
          <w:szCs w:val="24"/>
          <w:shd w:val="clear" w:color="auto" w:fill="FFFFFF"/>
        </w:rPr>
        <w:t xml:space="preserve">Sangfor Cyber Command is responsible for border and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detection, monitoring multiple nodes and aggregating security data for better threat detection. On the basis of border and </w:t>
      </w:r>
      <w:r>
        <w:rPr>
          <w:rFonts w:ascii="宋体" w:hAnsi="宋体" w:eastAsia="宋体"/>
          <w:color w:val="161616"/>
          <w:sz w:val="24"/>
          <w:szCs w:val="24"/>
          <w:shd w:val="clear" w:color="auto" w:fill="FFFFFF"/>
        </w:rPr>
        <w:t>endpoint</w:t>
      </w:r>
      <w:r>
        <w:rPr>
          <w:rFonts w:ascii="宋体" w:hAnsi="宋体" w:eastAsia="宋体"/>
          <w:color w:val="161616"/>
          <w:sz w:val="24"/>
          <w:szCs w:val="24"/>
          <w:shd w:val="clear" w:color="auto" w:fill="FFFFFF"/>
        </w:rPr>
        <w:t xml:space="preserve"> detection, it covers the detection of multiple nodes in the entire network and aggregates various security data to analyze and perceive threats. Through tag events, the Scattered security data and traffic bytes are combined to provide traceability and location, risk prediction, and security. Visually knowable ability.</w:t>
      </w:r>
    </w:p>
    <w:p>
      <w:pPr>
        <w:rPr>
          <w:rFonts w:hint="eastAsia"/>
        </w:rPr>
      </w:pPr>
      <w:bookmarkStart w:id="47" w:name="_Toc18330192"/>
    </w:p>
    <w:p>
      <w:pPr>
        <w:rPr>
          <w:rFonts w:hint="eastAsia"/>
        </w:rPr>
      </w:pPr>
    </w:p>
    <w:p>
      <w:pPr>
        <w:rPr>
          <w:rFonts w:hint="eastAsia"/>
        </w:rPr>
      </w:pPr>
      <w:r>
        <w:rPr>
          <w:sz w:val="21"/>
        </w:rPr>
        <w:drawing>
          <wp:anchor distT="0" distB="0" distL="114300" distR="114300" simplePos="0" relativeHeight="251700224" behindDoc="1" locked="0" layoutInCell="1" allowOverlap="1">
            <wp:simplePos x="0" y="0"/>
            <wp:positionH relativeFrom="column">
              <wp:posOffset>86360</wp:posOffset>
            </wp:positionH>
            <wp:positionV relativeFrom="paragraph">
              <wp:posOffset>17780</wp:posOffset>
            </wp:positionV>
            <wp:extent cx="5281295" cy="2559050"/>
            <wp:effectExtent l="0" t="0" r="1905" b="6350"/>
            <wp:wrapThrough wrapText="bothSides">
              <wp:wrapPolygon>
                <wp:start x="0" y="0"/>
                <wp:lineTo x="0" y="21477"/>
                <wp:lineTo x="21540" y="21477"/>
                <wp:lineTo x="21540" y="0"/>
                <wp:lineTo x="0" y="0"/>
              </wp:wrapPolygon>
            </wp:wrapThrough>
            <wp:docPr id="1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3"/>
                    <pic:cNvPicPr>
                      <a:picLocks noChangeAspect="1"/>
                    </pic:cNvPicPr>
                  </pic:nvPicPr>
                  <pic:blipFill>
                    <a:blip r:embed="rId13"/>
                    <a:stretch>
                      <a:fillRect/>
                    </a:stretch>
                  </pic:blipFill>
                  <pic:spPr>
                    <a:xfrm>
                      <a:off x="1229360" y="3127375"/>
                      <a:ext cx="5281295" cy="2559050"/>
                    </a:xfrm>
                    <a:prstGeom prst="rect">
                      <a:avLst/>
                    </a:prstGeom>
                  </pic:spPr>
                </pic:pic>
              </a:graphicData>
            </a:graphic>
          </wp:anchor>
        </w:drawing>
      </w:r>
    </w:p>
    <w:p>
      <w:pPr>
        <w:pStyle w:val="4"/>
        <w:numPr>
          <w:ilvl w:val="2"/>
          <w:numId w:val="0"/>
        </w:numPr>
        <w:bidi w:val="0"/>
        <w:rPr>
          <w:lang w:val="en-US"/>
        </w:rPr>
      </w:pPr>
      <w:bookmarkStart w:id="48" w:name="_Toc36436992_WPSOffice_Level2"/>
      <w:r>
        <w:t xml:space="preserve">4.4. </w:t>
      </w:r>
      <w:bookmarkEnd w:id="47"/>
      <w:r>
        <w:t>Sangfor Neural-X</w:t>
      </w:r>
      <w:bookmarkEnd w:id="48"/>
    </w:p>
    <w:p>
      <w:pPr>
        <w:ind w:firstLine="403"/>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Neural-X-cloud intelligence serviceprovides password brute force protection, vulnerability attack protection and anti-scanning capabilities.. When major incidents and vulnerabilities are detected, cloud security experts will refine security rules and respond in a timely manner, providing application protection, URL rules, application feature recognition library, botnet library and other updates.</w:t>
      </w:r>
    </w:p>
    <w:p>
      <w:pPr>
        <w:ind w:firstLine="403"/>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 xml:space="preserve">TNeural-X-cloud authentication service provides network cloud linkage which actively combats unknown ransomware and corresponding covert communication. In under 5 minutes, global threat hotspotsare captured, analyzed and ruled out or contained. Neural-X also coordinates access to cloud authentication equipment to provide defense and distribute the latest detection information a to help users defend against unknown threats. </w:t>
      </w:r>
    </w:p>
    <w:p>
      <w:pPr>
        <w:jc w:val="center"/>
      </w:pPr>
      <w:r>
        <w:drawing>
          <wp:inline distT="0" distB="0" distL="114300" distR="114300">
            <wp:extent cx="5347335" cy="2037715"/>
            <wp:effectExtent l="0" t="0" r="12065" b="19685"/>
            <wp:docPr id="945" name="Google Shape;945;p23"/>
            <wp:cNvGraphicFramePr/>
            <a:graphic xmlns:a="http://schemas.openxmlformats.org/drawingml/2006/main">
              <a:graphicData uri="http://schemas.openxmlformats.org/drawingml/2006/picture">
                <pic:pic xmlns:pic="http://schemas.openxmlformats.org/drawingml/2006/picture">
                  <pic:nvPicPr>
                    <pic:cNvPr id="945" name="Google Shape;945;p23"/>
                    <pic:cNvPicPr/>
                  </pic:nvPicPr>
                  <pic:blipFill>
                    <a:blip r:embed="rId14">
                      <a:extLst>
                        <a:ext uri="{28A0092B-C50C-407E-A947-70E740481C1C}">
                          <a14:useLocalDpi xmlns:a14="http://schemas.microsoft.com/office/drawing/2010/main" val="0"/>
                        </a:ext>
                      </a:extLst>
                    </a:blip>
                    <a:stretch>
                      <a:fillRect/>
                    </a:stretch>
                  </pic:blipFill>
                  <pic:spPr>
                    <a:xfrm>
                      <a:off x="0" y="0"/>
                      <a:ext cx="5347335" cy="2037715"/>
                    </a:xfrm>
                    <a:prstGeom prst="rect">
                      <a:avLst/>
                    </a:prstGeom>
                  </pic:spPr>
                </pic:pic>
              </a:graphicData>
            </a:graphic>
          </wp:inline>
        </w:drawing>
      </w:r>
    </w:p>
    <w:p>
      <w:pPr>
        <w:pStyle w:val="4"/>
        <w:numPr>
          <w:ilvl w:val="2"/>
          <w:numId w:val="0"/>
        </w:numPr>
        <w:bidi w:val="0"/>
        <w:rPr>
          <w:rFonts w:hint="eastAsia"/>
        </w:rPr>
      </w:pPr>
      <w:bookmarkStart w:id="49" w:name="_Toc18330193"/>
    </w:p>
    <w:p>
      <w:pPr>
        <w:pStyle w:val="4"/>
        <w:numPr>
          <w:ilvl w:val="2"/>
          <w:numId w:val="0"/>
        </w:numPr>
        <w:bidi w:val="0"/>
      </w:pPr>
      <w:bookmarkStart w:id="50" w:name="_Toc363685149_WPSOffice_Level2"/>
      <w:r>
        <w:t xml:space="preserve">4.5. </w:t>
      </w:r>
      <w:bookmarkEnd w:id="49"/>
      <w:r>
        <w:t>Sangfor's AI antivirus engine-- Engine Zero</w:t>
      </w:r>
      <w:bookmarkEnd w:id="50"/>
    </w:p>
    <w:p>
      <w:pPr>
        <w:ind w:firstLine="403"/>
        <w:rPr>
          <w:rFonts w:ascii="宋体" w:hAnsi="宋体" w:eastAsia="宋体"/>
          <w:color w:val="161616"/>
          <w:sz w:val="24"/>
          <w:szCs w:val="24"/>
          <w:shd w:val="clear" w:color="auto" w:fill="FFFFFF"/>
        </w:rPr>
      </w:pPr>
      <w:r>
        <w:rPr>
          <w:rFonts w:ascii="宋体" w:hAnsi="宋体" w:eastAsia="宋体"/>
          <w:color w:val="161616"/>
          <w:sz w:val="24"/>
          <w:szCs w:val="24"/>
          <w:shd w:val="clear" w:color="auto" w:fill="FFFFFF"/>
        </w:rPr>
        <w:t>SangforEngine Zero provides general antivirus capabilities through the establishment of high-quality sample sets, refined feature engineering and excellent model design, and fast iterative self-updating capabilities. It can learn in offline scenariosprovides far better results than traditional rule-based matching engines, as it’s able to identify the structure of ransomware and provide fewer false positive alerts.</w:t>
      </w:r>
    </w:p>
    <w:p/>
    <w:p>
      <w:r>
        <w:drawing>
          <wp:inline distT="0" distB="0" distL="114300" distR="114300">
            <wp:extent cx="5267325" cy="2817495"/>
            <wp:effectExtent l="0" t="0" r="15240" b="1905"/>
            <wp:docPr id="51" name="图片 51" descr="截屏2021-03-05 下午4.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截屏2021-03-05 下午4.48.1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267959" cy="2817495"/>
                    </a:xfrm>
                    <a:prstGeom prst="rect">
                      <a:avLst/>
                    </a:prstGeom>
                  </pic:spPr>
                </pic:pic>
              </a:graphicData>
            </a:graphic>
          </wp:inline>
        </w:drawing>
      </w:r>
    </w:p>
    <w:p>
      <w:pPr>
        <w:pStyle w:val="73"/>
        <w:spacing w:before="240"/>
        <w:jc w:val="center"/>
        <w:rPr>
          <w:rFonts w:ascii="宋体" w:hAnsi="宋体"/>
        </w:rPr>
      </w:pPr>
    </w:p>
    <w:p>
      <w:pPr>
        <w:ind w:firstLine="420"/>
        <w:rPr>
          <w:rFonts w:hint="eastAsia" w:ascii="宋体" w:hAnsi="宋体" w:eastAsia="宋体"/>
          <w:color w:val="161616"/>
          <w:sz w:val="24"/>
          <w:szCs w:val="24"/>
          <w:shd w:val="clear" w:color="auto" w:fill="FFFFFF"/>
        </w:rPr>
      </w:pPr>
    </w:p>
    <w:p>
      <w:pPr>
        <w:pStyle w:val="3"/>
        <w:numPr>
          <w:ilvl w:val="1"/>
          <w:numId w:val="0"/>
        </w:numPr>
        <w:bidi w:val="0"/>
      </w:pPr>
      <w:bookmarkStart w:id="51" w:name="_Toc36656077"/>
      <w:bookmarkStart w:id="52" w:name="_Toc1226876736_WPSOffice_Level1"/>
    </w:p>
    <w:p>
      <w:pPr>
        <w:pStyle w:val="3"/>
        <w:numPr>
          <w:ilvl w:val="1"/>
          <w:numId w:val="0"/>
        </w:numPr>
        <w:bidi w:val="0"/>
      </w:pPr>
      <w:r>
        <w:t>5. About Sangfor</w:t>
      </w:r>
      <w:bookmarkEnd w:id="51"/>
      <w:bookmarkEnd w:id="52"/>
    </w:p>
    <w:p>
      <w:pPr>
        <w:spacing w:line="360" w:lineRule="exact"/>
        <w:ind w:left="96"/>
        <w:rPr>
          <w:rFonts w:ascii="Times New Roman" w:hAnsi="Times New Roman" w:eastAsia="Microsoft YaHei"/>
          <w:lang w:val="en-MY"/>
        </w:rPr>
      </w:pPr>
      <w:r>
        <w:rPr>
          <w:rFonts w:ascii="Times New Roman" w:hAnsi="Times New Roman" w:eastAsia="Microsoft YaHei"/>
          <w:lang w:val="en-MY"/>
        </w:rPr>
        <w:t>SANGFOR has always had a clear goal. To build high-performance, reliable and absolutely secure networks that underpin the growth of businesses. SANGFOR concentrates on building excellent WAN devices, chiefly for emerging segments. SANGFOR’s products have been designed to offer unparalleled performance, greater choice and greater flexibility while lowering TCO (total cost of ownership). SANGFOR has over 6000 full-time employees worldwide, including 22,000 businesses, among them a number of Fortune 500 enterprises, as well as hundreds of local government and higher-education institutions.</w:t>
      </w:r>
      <w:r>
        <w:rPr>
          <w:rStyle w:val="27"/>
          <w:rFonts w:ascii="Calibri" w:hAnsi="Calibri" w:eastAsia="Calibri" w:cs="Calibri"/>
          <w:strike w:val="0"/>
          <w:dstrike w:val="0"/>
          <w:sz w:val="24"/>
          <w:szCs w:val="24"/>
          <w:lang w:val="en-MY"/>
        </w:rPr>
        <w:t xml:space="preserve"> </w:t>
      </w:r>
    </w:p>
    <w:p>
      <w:pPr>
        <w:spacing w:line="360" w:lineRule="exact"/>
      </w:pPr>
      <w:r>
        <w:fldChar w:fldCharType="begin"/>
      </w:r>
      <w:r>
        <w:instrText xml:space="preserve">HYPERLINK "https://www.sangfor.com/" </w:instrText>
      </w:r>
      <w:r>
        <w:fldChar w:fldCharType="separate"/>
      </w:r>
      <w:r>
        <w:rPr>
          <w:rStyle w:val="27"/>
          <w:rFonts w:ascii="Calibri" w:hAnsi="Calibri" w:eastAsia="Calibri" w:cs="Calibri"/>
          <w:strike w:val="0"/>
          <w:dstrike w:val="0"/>
          <w:sz w:val="24"/>
          <w:szCs w:val="24"/>
          <w:lang w:val="en-MY"/>
        </w:rPr>
        <w:t>Sangfor Technologies</w:t>
      </w:r>
      <w:r>
        <w:fldChar w:fldCharType="end"/>
      </w:r>
      <w:r>
        <w:rPr>
          <w:rFonts w:ascii="Calibri" w:hAnsi="Calibri" w:eastAsia="Calibri" w:cs="Calibri"/>
          <w:sz w:val="24"/>
          <w:szCs w:val="24"/>
          <w:lang w:val="en-MY"/>
        </w:rPr>
        <w:t xml:space="preserve"> is an APAC-based, global leading vendor of IT infrastructure solutions specializing in Network Security and Cloud Computing. Visit us at </w:t>
      </w:r>
      <w:r>
        <w:fldChar w:fldCharType="begin"/>
      </w:r>
      <w:r>
        <w:instrText xml:space="preserve">HYPERLINK "www.sangfor.com" </w:instrText>
      </w:r>
      <w:r>
        <w:fldChar w:fldCharType="separate"/>
      </w:r>
      <w:r>
        <w:rPr>
          <w:rStyle w:val="27"/>
          <w:rFonts w:ascii="Calibri" w:hAnsi="Calibri" w:eastAsia="Calibri" w:cs="Calibri"/>
          <w:sz w:val="24"/>
          <w:szCs w:val="24"/>
          <w:lang w:val="en-MY"/>
        </w:rPr>
        <w:t>www.sangfor.com</w:t>
      </w:r>
      <w:r>
        <w:fldChar w:fldCharType="end"/>
      </w:r>
      <w:r>
        <w:rPr>
          <w:rFonts w:ascii="Calibri" w:hAnsi="Calibri" w:eastAsia="Calibri" w:cs="Calibri"/>
          <w:sz w:val="24"/>
          <w:szCs w:val="24"/>
          <w:lang w:val="en-MY"/>
        </w:rPr>
        <w:t xml:space="preserve"> to learn more about Sangfor’s Security solutions, and let Sangfor make your IT simpler, more secure and valuable.</w:t>
      </w:r>
      <w:r>
        <w:rPr>
          <w:rFonts w:ascii="Times New Roman" w:hAnsi="Times New Roman" w:eastAsia="Microsoft YaHei"/>
          <w:lang w:val="en-MY"/>
        </w:rPr>
        <w:t xml:space="preserve"> </w:t>
      </w:r>
    </w:p>
    <w:p>
      <w:pPr>
        <w:spacing w:line="360" w:lineRule="exact"/>
        <w:ind w:left="96" w:firstLine="420" w:firstLineChars="200"/>
        <w:rPr>
          <w:rFonts w:ascii="Times New Roman" w:hAnsi="Times New Roman" w:eastAsia="Microsoft YaHei"/>
          <w:b/>
          <w:szCs w:val="21"/>
          <w:lang w:val="en-MY"/>
        </w:rPr>
      </w:pPr>
      <w:bookmarkStart w:id="53" w:name="_Toc2126807105_WPSOffice_Level1"/>
      <w:r>
        <w:rPr>
          <w:rFonts w:ascii="Times New Roman" w:hAnsi="Times New Roman" w:eastAsia="Microsoft YaHei"/>
          <w:b/>
          <w:szCs w:val="21"/>
          <w:lang w:val="en-MY"/>
        </w:rPr>
        <w:t>Awards:</w:t>
      </w:r>
      <w:bookmarkEnd w:id="53"/>
    </w:p>
    <w:p>
      <w:pPr>
        <w:pStyle w:val="59"/>
        <w:widowControl w:val="0"/>
        <w:numPr>
          <w:ilvl w:val="0"/>
          <w:numId w:val="5"/>
        </w:numPr>
        <w:spacing w:after="0" w:line="360" w:lineRule="exact"/>
        <w:ind w:left="360"/>
        <w:rPr>
          <w:rFonts w:ascii="Times New Roman" w:hAnsi="Times New Roman" w:eastAsia="Microsoft YaHei"/>
          <w:lang w:val="en-MY"/>
        </w:rPr>
      </w:pPr>
      <w:r>
        <w:rPr>
          <w:rFonts w:ascii="Times New Roman" w:hAnsi="Times New Roman" w:eastAsia="Microsoft YaHei"/>
          <w:lang w:val="en-MY"/>
        </w:rPr>
        <w:t>Deloitte Technology Fast 500 Asia Pacific Awards in 8 consecutive years (2005, 2006, 2007, 2008, 2009, 2010, 2011, 2012)</w:t>
      </w:r>
    </w:p>
    <w:p>
      <w:pPr>
        <w:pStyle w:val="59"/>
        <w:widowControl w:val="0"/>
        <w:numPr>
          <w:ilvl w:val="0"/>
          <w:numId w:val="5"/>
        </w:numPr>
        <w:spacing w:after="0" w:line="360" w:lineRule="exact"/>
        <w:ind w:left="360"/>
        <w:rPr>
          <w:rFonts w:ascii="Times New Roman" w:hAnsi="Times New Roman" w:eastAsia="Microsoft YaHei"/>
          <w:szCs w:val="21"/>
          <w:lang w:val="en-MY"/>
        </w:rPr>
      </w:pPr>
      <w:r>
        <w:rPr>
          <w:rFonts w:ascii="Times New Roman" w:hAnsi="Times New Roman" w:eastAsia="Microsoft YaHei"/>
          <w:szCs w:val="21"/>
          <w:lang w:val="en-MY"/>
        </w:rPr>
        <w:t>Mid-sized Enterprise Gold Award from Standard Chartered Bank</w:t>
      </w:r>
    </w:p>
    <w:p>
      <w:pPr>
        <w:pStyle w:val="59"/>
        <w:widowControl w:val="0"/>
        <w:numPr>
          <w:ilvl w:val="0"/>
          <w:numId w:val="5"/>
        </w:numPr>
        <w:spacing w:after="0" w:line="360" w:lineRule="exact"/>
        <w:ind w:left="360"/>
        <w:rPr>
          <w:rFonts w:ascii="Times New Roman" w:hAnsi="Times New Roman" w:eastAsia="Microsoft YaHei"/>
          <w:szCs w:val="21"/>
          <w:lang w:val="en-MY"/>
        </w:rPr>
      </w:pPr>
      <w:r>
        <w:rPr>
          <w:rFonts w:ascii="Times New Roman" w:hAnsi="Times New Roman" w:eastAsia="Microsoft YaHei"/>
          <w:szCs w:val="21"/>
          <w:lang w:val="en-MY"/>
        </w:rPr>
        <w:t>Network Security Manufacturer in Asia Pacific Award 2009 from Frost &amp; Sullivan</w:t>
      </w:r>
    </w:p>
    <w:p>
      <w:pPr>
        <w:pStyle w:val="59"/>
        <w:widowControl w:val="0"/>
        <w:numPr>
          <w:ilvl w:val="0"/>
          <w:numId w:val="5"/>
        </w:numPr>
        <w:spacing w:after="0" w:line="360" w:lineRule="exact"/>
        <w:ind w:left="360"/>
        <w:rPr>
          <w:rFonts w:ascii="Times New Roman" w:hAnsi="Times New Roman" w:eastAsia="Microsoft YaHei"/>
          <w:szCs w:val="21"/>
          <w:lang w:val="en-MY"/>
        </w:rPr>
      </w:pPr>
      <w:r>
        <w:rPr>
          <w:rFonts w:ascii="Times New Roman" w:hAnsi="Times New Roman" w:eastAsia="Microsoft YaHei"/>
          <w:szCs w:val="21"/>
          <w:lang w:val="en-MY"/>
        </w:rPr>
        <w:t>Year of the Product Award from Computer World for 4 consecutive years</w:t>
      </w:r>
    </w:p>
    <w:p>
      <w:pPr>
        <w:pStyle w:val="59"/>
        <w:widowControl w:val="0"/>
        <w:numPr>
          <w:ilvl w:val="0"/>
          <w:numId w:val="5"/>
        </w:numPr>
        <w:spacing w:after="0" w:line="360" w:lineRule="exact"/>
        <w:ind w:left="360"/>
        <w:rPr>
          <w:rFonts w:ascii="Times New Roman" w:hAnsi="Times New Roman" w:eastAsia="Microsoft YaHei"/>
          <w:szCs w:val="21"/>
          <w:lang w:val="en-MY"/>
        </w:rPr>
      </w:pPr>
      <w:r>
        <w:rPr>
          <w:rFonts w:ascii="Times New Roman" w:hAnsi="Times New Roman" w:eastAsia="Microsoft YaHei"/>
          <w:szCs w:val="21"/>
          <w:lang w:val="en-MY"/>
        </w:rPr>
        <w:t>Best Employer Award 2009 from Fortune</w:t>
      </w:r>
    </w:p>
    <w:p>
      <w:pPr>
        <w:pStyle w:val="59"/>
        <w:widowControl w:val="0"/>
        <w:numPr>
          <w:ilvl w:val="0"/>
          <w:numId w:val="5"/>
        </w:numPr>
        <w:spacing w:after="0" w:line="360" w:lineRule="exact"/>
        <w:ind w:left="360"/>
        <w:rPr>
          <w:rFonts w:ascii="Times New Roman" w:hAnsi="Times New Roman" w:eastAsia="Microsoft YaHei"/>
          <w:szCs w:val="21"/>
          <w:lang w:val="en-MY"/>
        </w:rPr>
      </w:pPr>
      <w:r>
        <w:rPr>
          <w:rFonts w:ascii="Times New Roman" w:hAnsi="Times New Roman" w:eastAsia="Microsoft YaHei"/>
          <w:szCs w:val="21"/>
          <w:lang w:val="en-MY"/>
        </w:rPr>
        <w:t>SANGFOR --The biggest market share in China - 2007, 2008,2009,2010,2011,2012(From IDC)</w:t>
      </w:r>
    </w:p>
    <w:p>
      <w:pPr>
        <w:pStyle w:val="59"/>
        <w:widowControl w:val="0"/>
        <w:numPr>
          <w:ilvl w:val="0"/>
          <w:numId w:val="5"/>
        </w:numPr>
        <w:spacing w:after="0" w:line="360" w:lineRule="exact"/>
        <w:ind w:left="360"/>
        <w:rPr>
          <w:rFonts w:ascii="Times New Roman" w:hAnsi="Times New Roman" w:eastAsia="Microsoft YaHei"/>
          <w:lang w:val="en-MY"/>
        </w:rPr>
      </w:pPr>
      <w:r>
        <w:rPr>
          <w:rFonts w:ascii="Times New Roman" w:hAnsi="Times New Roman" w:eastAsia="Microsoft YaHei"/>
          <w:lang w:val="en-MY"/>
        </w:rPr>
        <w:t>SANGFOR SSL VPN--- No.1 for 5 consecutive years in Chinese market share Frost &amp; Sullivan)</w:t>
      </w:r>
    </w:p>
    <w:p>
      <w:pPr>
        <w:pStyle w:val="59"/>
        <w:widowControl w:val="0"/>
        <w:numPr>
          <w:ilvl w:val="0"/>
          <w:numId w:val="5"/>
        </w:numPr>
        <w:spacing w:after="0" w:line="360" w:lineRule="exact"/>
        <w:ind w:left="360"/>
        <w:rPr>
          <w:rFonts w:ascii="Times New Roman" w:hAnsi="Times New Roman" w:eastAsia="Microsoft YaHei"/>
          <w:lang w:val="en-MY"/>
        </w:rPr>
      </w:pPr>
      <w:r>
        <w:rPr>
          <w:rFonts w:ascii="Times New Roman" w:hAnsi="Times New Roman" w:eastAsia="Microsoft YaHei"/>
          <w:lang w:val="en-MY"/>
        </w:rPr>
        <w:t>SANGFOR VPN hardware---No.1 in Chinese market share (From IDC)</w:t>
      </w:r>
    </w:p>
    <w:p>
      <w:pPr>
        <w:spacing w:line="360" w:lineRule="exact"/>
        <w:ind w:left="360"/>
        <w:rPr>
          <w:rFonts w:ascii="Times New Roman" w:hAnsi="Times New Roman" w:eastAsia="Microsoft YaHei"/>
          <w:szCs w:val="21"/>
          <w:lang w:val="en-MY"/>
        </w:rPr>
      </w:pPr>
      <w:r>
        <w:rPr>
          <w:rFonts w:ascii="Times New Roman" w:hAnsi="Times New Roman"/>
          <w:lang w:val="en-MY" w:eastAsia="en-MY"/>
        </w:rPr>
        <w:drawing>
          <wp:anchor distT="0" distB="0" distL="114300" distR="114300" simplePos="0" relativeHeight="251668480" behindDoc="0" locked="0" layoutInCell="1" allowOverlap="1">
            <wp:simplePos x="0" y="0"/>
            <wp:positionH relativeFrom="column">
              <wp:posOffset>352425</wp:posOffset>
            </wp:positionH>
            <wp:positionV relativeFrom="paragraph">
              <wp:posOffset>192405</wp:posOffset>
            </wp:positionV>
            <wp:extent cx="5005705" cy="1200150"/>
            <wp:effectExtent l="0" t="0" r="23495" b="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005705" cy="1200150"/>
                    </a:xfrm>
                    <a:prstGeom prst="rect">
                      <a:avLst/>
                    </a:prstGeom>
                    <a:noFill/>
                    <a:ln>
                      <a:noFill/>
                    </a:ln>
                  </pic:spPr>
                </pic:pic>
              </a:graphicData>
            </a:graphic>
          </wp:anchor>
        </w:drawing>
      </w:r>
    </w:p>
    <w:p>
      <w:pPr>
        <w:ind w:left="360"/>
        <w:rPr>
          <w:rFonts w:ascii="Times New Roman" w:hAnsi="Times New Roman"/>
          <w:lang w:val="en-MY"/>
        </w:rPr>
      </w:pPr>
    </w:p>
    <w:p>
      <w:pPr>
        <w:spacing w:after="0"/>
        <w:ind w:left="360"/>
        <w:rPr>
          <w:rFonts w:ascii="Times New Roman" w:hAnsi="Times New Roman"/>
          <w:b/>
          <w:color w:val="000000"/>
          <w:sz w:val="16"/>
          <w:szCs w:val="16"/>
          <w:lang w:val="en-MY"/>
        </w:rPr>
      </w:pPr>
    </w:p>
    <w:p>
      <w:pPr>
        <w:rPr>
          <w:rFonts w:ascii="Times New Roman" w:hAnsi="Times New Roman"/>
          <w:lang w:val="en-MY"/>
        </w:rPr>
      </w:pPr>
      <w:r>
        <w:rPr>
          <w:rFonts w:ascii="Times New Roman" w:hAnsi="Times New Roman" w:eastAsia="Microsoft YaHei"/>
          <w:szCs w:val="21"/>
          <w:lang w:val="en-MY"/>
        </w:rPr>
        <mc:AlternateContent>
          <mc:Choice Requires="wps">
            <w:drawing>
              <wp:anchor distT="0" distB="0" distL="114300" distR="114300" simplePos="0" relativeHeight="251677696" behindDoc="0" locked="0" layoutInCell="1" allowOverlap="1">
                <wp:simplePos x="0" y="0"/>
                <wp:positionH relativeFrom="column">
                  <wp:posOffset>352425</wp:posOffset>
                </wp:positionH>
                <wp:positionV relativeFrom="paragraph">
                  <wp:posOffset>660400</wp:posOffset>
                </wp:positionV>
                <wp:extent cx="274320" cy="424180"/>
                <wp:effectExtent l="6350" t="6350" r="24130" b="26670"/>
                <wp:wrapNone/>
                <wp:docPr id="24" name="Text Box 4"/>
                <wp:cNvGraphicFramePr/>
                <a:graphic xmlns:a="http://schemas.openxmlformats.org/drawingml/2006/main">
                  <a:graphicData uri="http://schemas.microsoft.com/office/word/2010/wordprocessingShape">
                    <wps:wsp>
                      <wps:cNvSpPr txBox="1">
                        <a:spLocks noChangeArrowheads="1"/>
                      </wps:cNvSpPr>
                      <wps:spPr bwMode="auto">
                        <a:xfrm>
                          <a:off x="0" y="0"/>
                          <a:ext cx="274320" cy="424180"/>
                        </a:xfrm>
                        <a:prstGeom prst="rect">
                          <a:avLst/>
                        </a:prstGeom>
                        <a:solidFill>
                          <a:srgbClr val="FFFFFF"/>
                        </a:solidFill>
                        <a:ln w="9525">
                          <a:solidFill>
                            <a:srgbClr val="FFFFFF"/>
                          </a:solidFill>
                          <a:miter lim="800000"/>
                        </a:ln>
                      </wps:spPr>
                      <wps:txbx>
                        <w:txbxContent>
                          <w:p/>
                        </w:txbxContent>
                      </wps:txbx>
                      <wps:bodyPr rot="0" vert="horz" wrap="non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Text Box 4" o:spid="_x0000_s1026" o:spt="202" type="#_x0000_t202" style="position:absolute;left:0pt;margin-left:27.75pt;margin-top:52pt;height:33.4pt;width:21.6pt;mso-wrap-style:none;z-index:251677696;mso-width-relative:page;mso-height-relative:margin;mso-height-percent:200;" fillcolor="#FFFFFF" filled="t" stroked="t" coordsize="21600,21600" o:gfxdata="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Hj0hdLV&#10;AAAACQEAAA8AAAAAAAAAAQAgAAAAOAAAAGRycy9kb3ducmV2LnhtbFBLAQIUABQAAAAIAIdO4kDf&#10;gleIDQIAADYEAAAOAAAAAAAAAAEAIAAAADoBAABkcnMvZTJvRG9jLnhtbFBLBQYAAAAABgAGAFkB&#10;AAC5BQAAAAA=&#10;">
                <v:fill on="t" focussize="0,0"/>
                <v:stroke color="#FFFFFF" miterlimit="8" joinstyle="miter"/>
                <v:imagedata o:title=""/>
                <o:lock v:ext="edit" aspectratio="f"/>
                <v:textbox style="mso-fit-shape-to-text:t;">
                  <w:txbxContent>
                    <w:p/>
                  </w:txbxContent>
                </v:textbox>
              </v:shape>
            </w:pict>
          </mc:Fallback>
        </mc:AlternateContent>
      </w:r>
    </w:p>
    <w:p>
      <w:pPr>
        <w:rPr>
          <w:rFonts w:hint="eastAsia" w:ascii="宋体" w:hAnsi="宋体" w:eastAsia="宋体"/>
          <w:color w:val="161616"/>
          <w:sz w:val="24"/>
          <w:szCs w:val="24"/>
          <w:shd w:val="clear" w:color="auto" w:fill="FFFFFF"/>
        </w:rPr>
      </w:pPr>
      <w:bookmarkEnd w:id="0"/>
    </w:p>
    <w:p>
      <w:pPr>
        <w:pStyle w:val="2"/>
        <w:numPr>
          <w:ilvl w:val="0"/>
          <w:numId w:val="0"/>
        </w:numPr>
        <w:ind w:left="425"/>
        <w:rPr>
          <w:rFonts w:hint="eastAsia" w:ascii="黑体" w:hAnsi="黑体" w:eastAsia="黑体"/>
          <w:highlight w:val="lightGray"/>
        </w:rPr>
      </w:pPr>
    </w:p>
    <w:p>
      <w:pPr>
        <w:ind w:firstLine="420"/>
        <w:rPr>
          <w:rFonts w:ascii="宋体" w:hAnsi="宋体"/>
        </w:rPr>
      </w:pPr>
    </w:p>
    <w:sectPr>
      <w:headerReference r:id="rId3" w:type="default"/>
      <w:footerReference r:id="rId4"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微软雅黑">
    <w:altName w:val="汉仪旗黑"/>
    <w:panose1 w:val="020B0503020204020204"/>
    <w:charset w:val="86"/>
    <w:family w:val="swiss"/>
    <w:pitch w:val="default"/>
    <w:sig w:usb0="00000000" w:usb1="00000000" w:usb2="00000016" w:usb3="00000000" w:csb0="0004001F" w:csb1="00000000"/>
  </w:font>
  <w:font w:name="仿宋">
    <w:altName w:val="方正仿宋_GBK"/>
    <w:panose1 w:val="02010609060101010101"/>
    <w:charset w:val="86"/>
    <w:family w:val="modern"/>
    <w:pitch w:val="default"/>
    <w:sig w:usb0="00000000" w:usb1="00000000" w:usb2="00000016" w:usb3="00000000" w:csb0="00040001"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旗黑">
    <w:panose1 w:val="00020600040101010101"/>
    <w:charset w:val="86"/>
    <w:family w:val="auto"/>
    <w:pitch w:val="default"/>
    <w:sig w:usb0="A00002BF" w:usb1="1ACF7CFA" w:usb2="00000016" w:usb3="00000000" w:csb0="0004009F" w:csb1="DFD70000"/>
  </w:font>
  <w:font w:name="等线 Light">
    <w:altName w:val="汉仪中等线KW"/>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Webdings">
    <w:panose1 w:val="05030102010509060703"/>
    <w:charset w:val="00"/>
    <w:family w:val="auto"/>
    <w:pitch w:val="default"/>
    <w:sig w:usb0="00000000" w:usb1="00000000" w:usb2="00000000" w:usb3="00000000" w:csb0="8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 w:name="Courier New">
    <w:panose1 w:val="02070609020205090404"/>
    <w:charset w:val="00"/>
    <w:family w:val="modern"/>
    <w:pitch w:val="default"/>
    <w:sig w:usb0="E0000AFF" w:usb1="40007843" w:usb2="00000001" w:usb3="00000000" w:csb0="400001BF" w:csb1="DFF70000"/>
  </w:font>
  <w:font w:name="Calibri Light">
    <w:altName w:val="Helvetica Neue"/>
    <w:panose1 w:val="020F0302020204030204"/>
    <w:charset w:val="00"/>
    <w:family w:val="swiss"/>
    <w:pitch w:val="default"/>
    <w:sig w:usb0="00000000" w:usb1="00000000" w:usb2="00000009" w:usb3="00000000" w:csb0="000001FF" w:csb1="00000000"/>
  </w:font>
  <w:font w:name="Arial Narrow">
    <w:panose1 w:val="020B07060202020A0204"/>
    <w:charset w:val="00"/>
    <w:family w:val="swiss"/>
    <w:pitch w:val="default"/>
    <w:sig w:usb0="00000287" w:usb1="00000800" w:usb2="00000000" w:usb3="00000000" w:csb0="2000009F" w:csb1="DFD70000"/>
  </w:font>
  <w:font w:name="Arial">
    <w:panose1 w:val="020B0604020202090204"/>
    <w:charset w:val="00"/>
    <w:family w:val="swiss"/>
    <w:pitch w:val="default"/>
    <w:sig w:usb0="E0000AFF" w:usb1="00007843" w:usb2="00000001" w:usb3="00000000" w:csb0="400001BF" w:csb1="DFF70000"/>
  </w:font>
  <w:font w:name="Microsoft YaHei">
    <w:altName w:val="汉仪旗黑"/>
    <w:panose1 w:val="020B0503020204020204"/>
    <w:charset w:val="86"/>
    <w:family w:val="swiss"/>
    <w:pitch w:val="default"/>
    <w:sig w:usb0="00000000" w:usb1="00000000" w:usb2="00000016" w:usb3="00000000" w:csb0="0004001F" w:csb1="00000000"/>
  </w:font>
  <w:font w:name="Century Gothic">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both"/>
      <w:rPr>
        <w:sz w:val="21"/>
        <w:szCs w:val="21"/>
      </w:rPr>
    </w:pPr>
    <w:r>
      <w:rPr>
        <w:rFonts w:ascii="Times New Roman" w:hAnsi="Times New Roman"/>
        <w:sz w:val="21"/>
        <w:szCs w:val="21"/>
      </w:rPr>
      <w:t>Sangfor Technologies</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jc w:val="both"/>
    </w:pPr>
    <w:r>
      <w:drawing>
        <wp:inline distT="0" distB="0" distL="114300" distR="114300">
          <wp:extent cx="923290" cy="282575"/>
          <wp:effectExtent l="0" t="0" r="16510" b="22225"/>
          <wp:docPr id="1" name="Picture 17" descr="Sangfor Malaysia | CLL SYSTEMS SDN B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descr="Sangfor Malaysia | CLL SYSTEMS SDN BH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23290" cy="282575"/>
                  </a:xfrm>
                  <a:prstGeom prst="rect">
                    <a:avLst/>
                  </a:prstGeom>
                </pic:spPr>
              </pic:pic>
            </a:graphicData>
          </a:graphic>
        </wp:inline>
      </w:drawing>
    </w:r>
    <w:r>
      <w:t xml:space="preserve">                                                  Sangfor Ransomware Solution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35906"/>
    <w:multiLevelType w:val="multilevel"/>
    <w:tmpl w:val="09F3590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E62FB9"/>
    <w:multiLevelType w:val="multilevel"/>
    <w:tmpl w:val="1AE62FB9"/>
    <w:lvl w:ilvl="0" w:tentative="0">
      <w:start w:val="1"/>
      <w:numFmt w:val="decimal"/>
      <w:suff w:val="space"/>
      <w:lvlText w:val="%1 "/>
      <w:lvlJc w:val="left"/>
      <w:pPr>
        <w:ind w:left="420" w:hanging="420"/>
      </w:pPr>
      <w:rPr>
        <w:rFonts w:hint="default" w:ascii="Times New Roman" w:hAnsi="Times New Roman" w:cs="Times New Roman"/>
        <w:b/>
        <w:i w:val="0"/>
        <w:iCs w:val="0"/>
        <w:caps w:val="0"/>
        <w:strike w:val="0"/>
        <w:dstrike w:val="0"/>
        <w:vanish w:val="0"/>
        <w:spacing w:val="0"/>
        <w:position w:val="0"/>
        <w:sz w:val="32"/>
        <w:u w:val="none"/>
        <w:vertAlign w:val="baseline"/>
        <w14:ligatures w14:val="none"/>
        <w14:numForm w14:val="default"/>
        <w14:numSpacing w14:val="default"/>
        <w14:cntxtalts w14:val="0"/>
      </w:rPr>
    </w:lvl>
    <w:lvl w:ilvl="1" w:tentative="0">
      <w:start w:val="1"/>
      <w:numFmt w:val="decimal"/>
      <w:pStyle w:val="70"/>
      <w:isLgl/>
      <w:suff w:val="space"/>
      <w:lvlText w:val="%1.%2 "/>
      <w:lvlJc w:val="left"/>
      <w:pPr>
        <w:ind w:left="400" w:hanging="400"/>
      </w:pPr>
      <w:rPr>
        <w:rFonts w:hint="default" w:ascii="Times New Roman" w:hAnsi="Times New Roman" w:cs="Times New Roman"/>
        <w:b/>
        <w:bCs w:val="0"/>
        <w:i w:val="0"/>
        <w:iCs w:val="0"/>
        <w:caps w:val="0"/>
        <w:strike w:val="0"/>
        <w:dstrike w:val="0"/>
        <w:vanish w:val="0"/>
        <w:spacing w:val="0"/>
        <w:kern w:val="0"/>
        <w:position w:val="0"/>
        <w:sz w:val="32"/>
        <w:u w:val="none"/>
        <w:vertAlign w:val="baseline"/>
        <w14:ligatures w14:val="none"/>
        <w14:numForm w14:val="default"/>
        <w14:numSpacing w14:val="default"/>
        <w14:cntxtalts w14:val="0"/>
      </w:rPr>
    </w:lvl>
    <w:lvl w:ilvl="2" w:tentative="0">
      <w:start w:val="1"/>
      <w:numFmt w:val="decimal"/>
      <w:isLgl/>
      <w:suff w:val="space"/>
      <w:lvlText w:val="%1.%2.%3 "/>
      <w:lvlJc w:val="left"/>
      <w:pPr>
        <w:ind w:left="400" w:hanging="400"/>
      </w:pPr>
      <w:rPr>
        <w:rFonts w:hint="default" w:ascii="Times New Roman" w:hAnsi="Times New Roman"/>
        <w:b/>
        <w:i w:val="0"/>
        <w:sz w:val="28"/>
      </w:rPr>
    </w:lvl>
    <w:lvl w:ilvl="3" w:tentative="0">
      <w:start w:val="1"/>
      <w:numFmt w:val="decimal"/>
      <w:isLgl/>
      <w:suff w:val="space"/>
      <w:lvlText w:val="%1.%2.%3.%4 "/>
      <w:lvlJc w:val="left"/>
      <w:pPr>
        <w:ind w:left="400" w:hanging="400"/>
      </w:pPr>
      <w:rPr>
        <w:rFonts w:hint="default" w:ascii="Times New Roman" w:hAnsi="Times New Roman"/>
        <w:b/>
        <w:i w:val="0"/>
        <w:sz w:val="24"/>
      </w:rPr>
    </w:lvl>
    <w:lvl w:ilvl="4" w:tentative="0">
      <w:start w:val="1"/>
      <w:numFmt w:val="decimal"/>
      <w:isLgl/>
      <w:suff w:val="space"/>
      <w:lvlText w:val="%1.%2.%3.%4.%5 "/>
      <w:lvlJc w:val="left"/>
      <w:pPr>
        <w:ind w:left="400" w:hanging="400"/>
      </w:pPr>
      <w:rPr>
        <w:rFonts w:hint="default" w:ascii="Times New Roman" w:hAnsi="Times New Roman"/>
        <w:sz w:val="24"/>
      </w:rPr>
    </w:lvl>
    <w:lvl w:ilvl="5" w:tentative="0">
      <w:start w:val="1"/>
      <w:numFmt w:val="decimal"/>
      <w:isLgl/>
      <w:suff w:val="space"/>
      <w:lvlText w:val="%1.%2.%3.%4.%5.%6 "/>
      <w:lvlJc w:val="left"/>
      <w:pPr>
        <w:ind w:left="400" w:hanging="400"/>
      </w:pPr>
      <w:rPr>
        <w:rFonts w:hint="eastAsia"/>
      </w:rPr>
    </w:lvl>
    <w:lvl w:ilvl="6" w:tentative="0">
      <w:start w:val="1"/>
      <w:numFmt w:val="decimal"/>
      <w:lvlRestart w:val="1"/>
      <w:isLgl/>
      <w:suff w:val="space"/>
      <w:lvlText w:val="图 %1-%7 "/>
      <w:lvlJc w:val="left"/>
      <w:pPr>
        <w:ind w:left="400" w:hanging="400"/>
      </w:pPr>
      <w:rPr>
        <w:rFonts w:hint="default" w:ascii="Times New Roman" w:hAnsi="Times New Roman" w:eastAsia="宋体" w:cs="Times New Roman"/>
        <w:b w:val="0"/>
        <w:bCs w:val="0"/>
        <w:i w:val="0"/>
        <w:iCs w:val="0"/>
        <w:caps w:val="0"/>
        <w:strike w:val="0"/>
        <w:dstrike w:val="0"/>
        <w:vanish w:val="0"/>
        <w:spacing w:val="0"/>
        <w:position w:val="0"/>
        <w:sz w:val="21"/>
        <w:u w:val="none"/>
        <w:vertAlign w:val="baseline"/>
        <w14:ligatures w14:val="none"/>
        <w14:numForm w14:val="default"/>
        <w14:numSpacing w14:val="default"/>
        <w14:cntxtalts w14:val="0"/>
      </w:rPr>
    </w:lvl>
    <w:lvl w:ilvl="7" w:tentative="0">
      <w:start w:val="1"/>
      <w:numFmt w:val="decimal"/>
      <w:lvlRestart w:val="1"/>
      <w:isLgl/>
      <w:suff w:val="space"/>
      <w:lvlText w:val="表 %1-%8 "/>
      <w:lvlJc w:val="left"/>
      <w:pPr>
        <w:ind w:left="400" w:hanging="400"/>
      </w:pPr>
      <w:rPr>
        <w:rFonts w:hint="default" w:ascii="Times New Roman" w:hAnsi="Times New Roman" w:eastAsia="宋体" w:cs="Times New Roman"/>
        <w:b w:val="0"/>
        <w:i w:val="0"/>
        <w:sz w:val="21"/>
      </w:rPr>
    </w:lvl>
    <w:lvl w:ilvl="8" w:tentative="0">
      <w:start w:val="1"/>
      <w:numFmt w:val="none"/>
      <w:suff w:val="nothing"/>
      <w:lvlText w:val=""/>
      <w:lvlJc w:val="left"/>
      <w:pPr>
        <w:ind w:left="400" w:hanging="400"/>
      </w:pPr>
      <w:rPr>
        <w:rFonts w:hint="eastAsia"/>
      </w:rPr>
    </w:lvl>
  </w:abstractNum>
  <w:abstractNum w:abstractNumId="2">
    <w:nsid w:val="1C1E6FC5"/>
    <w:multiLevelType w:val="multilevel"/>
    <w:tmpl w:val="1C1E6FC5"/>
    <w:lvl w:ilvl="0" w:tentative="0">
      <w:start w:val="1"/>
      <w:numFmt w:val="decimal"/>
      <w:pStyle w:val="69"/>
      <w:lvlText w:val="%1"/>
      <w:lvlJc w:val="left"/>
      <w:pPr>
        <w:ind w:left="403" w:hanging="403"/>
      </w:pPr>
      <w:rPr>
        <w:rFonts w:hint="default" w:ascii="Times New Roman" w:hAnsi="Times New Roman"/>
        <w:b/>
        <w:i w:val="0"/>
        <w:sz w:val="32"/>
      </w:rPr>
    </w:lvl>
    <w:lvl w:ilvl="1" w:tentative="0">
      <w:start w:val="1"/>
      <w:numFmt w:val="decimal"/>
      <w:isLgl/>
      <w:suff w:val="space"/>
      <w:lvlText w:val="%1.%2 "/>
      <w:lvlJc w:val="left"/>
      <w:pPr>
        <w:ind w:left="403" w:hanging="403"/>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2" w:tentative="0">
      <w:start w:val="1"/>
      <w:numFmt w:val="decimal"/>
      <w:isLgl/>
      <w:suff w:val="space"/>
      <w:lvlText w:val="%1.%2.%3 "/>
      <w:lvlJc w:val="left"/>
      <w:pPr>
        <w:ind w:left="403" w:hanging="403"/>
      </w:pPr>
      <w:rPr>
        <w:rFonts w:hint="default" w:ascii="Times New Roman" w:hAnsi="Times New Roman"/>
        <w:b/>
        <w:i w:val="0"/>
        <w:sz w:val="28"/>
      </w:rPr>
    </w:lvl>
    <w:lvl w:ilvl="3" w:tentative="0">
      <w:start w:val="1"/>
      <w:numFmt w:val="decimal"/>
      <w:isLgl/>
      <w:suff w:val="space"/>
      <w:lvlText w:val="%1.%2.%3.%4 "/>
      <w:lvlJc w:val="left"/>
      <w:pPr>
        <w:ind w:left="403" w:hanging="403"/>
      </w:pPr>
      <w:rPr>
        <w:rFonts w:hint="default" w:ascii="Times New Roman" w:hAnsi="Times New Roman"/>
        <w:b/>
        <w:i w:val="0"/>
        <w:sz w:val="24"/>
      </w:rPr>
    </w:lvl>
    <w:lvl w:ilvl="4" w:tentative="0">
      <w:start w:val="1"/>
      <w:numFmt w:val="decimal"/>
      <w:isLgl/>
      <w:suff w:val="space"/>
      <w:lvlText w:val="%1.%2.%3.%4.%5 "/>
      <w:lvlJc w:val="left"/>
      <w:pPr>
        <w:ind w:left="403" w:hanging="403"/>
      </w:pPr>
      <w:rPr>
        <w:rFonts w:hint="default" w:ascii="Times New Roman" w:hAnsi="Times New Roman"/>
        <w:sz w:val="24"/>
      </w:rPr>
    </w:lvl>
    <w:lvl w:ilvl="5" w:tentative="0">
      <w:start w:val="1"/>
      <w:numFmt w:val="decimal"/>
      <w:isLgl/>
      <w:suff w:val="space"/>
      <w:lvlText w:val="%1.%2.%3.%4.%5.%6 "/>
      <w:lvlJc w:val="left"/>
      <w:pPr>
        <w:ind w:left="403" w:hanging="403"/>
      </w:pPr>
      <w:rPr>
        <w:rFonts w:hint="eastAsia"/>
      </w:rPr>
    </w:lvl>
    <w:lvl w:ilvl="6" w:tentative="0">
      <w:start w:val="1"/>
      <w:numFmt w:val="decimal"/>
      <w:lvlRestart w:val="1"/>
      <w:isLgl/>
      <w:suff w:val="space"/>
      <w:lvlText w:val="图 %1-%7 "/>
      <w:lvlJc w:val="left"/>
      <w:pPr>
        <w:ind w:left="403" w:hanging="403"/>
      </w:pPr>
      <w:rPr>
        <w:rFonts w:hint="default" w:ascii="Times New Roman" w:hAnsi="Times New Roman" w:eastAsia="宋体" w:cs="Times New Roman"/>
        <w:b w:val="0"/>
        <w:bCs w:val="0"/>
        <w:i w:val="0"/>
        <w:iCs w:val="0"/>
        <w:caps w:val="0"/>
        <w:smallCaps w:val="0"/>
        <w:strike w:val="0"/>
        <w:dstrike w:val="0"/>
        <w:snapToGrid w:val="0"/>
        <w:vanish w:val="0"/>
        <w:color w:val="000000"/>
        <w:spacing w:val="0"/>
        <w:w w:val="0"/>
        <w:kern w:val="0"/>
        <w:position w:val="0"/>
        <w:sz w:val="21"/>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7" w:tentative="0">
      <w:start w:val="1"/>
      <w:numFmt w:val="decimal"/>
      <w:lvlRestart w:val="1"/>
      <w:isLgl/>
      <w:suff w:val="space"/>
      <w:lvlText w:val="表 %1-%8 "/>
      <w:lvlJc w:val="left"/>
      <w:pPr>
        <w:ind w:left="403" w:hanging="403"/>
      </w:pPr>
      <w:rPr>
        <w:rFonts w:hint="default" w:ascii="Times New Roman" w:hAnsi="Times New Roman" w:eastAsia="宋体" w:cs="Times New Roman"/>
        <w:b w:val="0"/>
        <w:i w:val="0"/>
        <w:sz w:val="21"/>
      </w:rPr>
    </w:lvl>
    <w:lvl w:ilvl="8" w:tentative="0">
      <w:start w:val="1"/>
      <w:numFmt w:val="none"/>
      <w:suff w:val="nothing"/>
      <w:lvlText w:val=""/>
      <w:lvlJc w:val="left"/>
      <w:pPr>
        <w:ind w:left="403" w:hanging="403"/>
      </w:pPr>
      <w:rPr>
        <w:rFonts w:hint="eastAsia"/>
      </w:rPr>
    </w:lvl>
  </w:abstractNum>
  <w:abstractNum w:abstractNumId="3">
    <w:nsid w:val="6B9B5FF1"/>
    <w:multiLevelType w:val="multilevel"/>
    <w:tmpl w:val="6B9B5FF1"/>
    <w:lvl w:ilvl="0" w:tentative="0">
      <w:start w:val="1"/>
      <w:numFmt w:val="bullet"/>
      <w:pStyle w:val="6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4">
    <w:nsid w:val="6F9E595B"/>
    <w:multiLevelType w:val="multilevel"/>
    <w:tmpl w:val="6F9E595B"/>
    <w:lvl w:ilvl="0" w:tentative="0">
      <w:start w:val="1"/>
      <w:numFmt w:val="chineseCountingThousand"/>
      <w:pStyle w:val="2"/>
      <w:lvlText w:val="第%1章"/>
      <w:lvlJc w:val="left"/>
      <w:pPr>
        <w:ind w:left="425" w:hanging="425"/>
      </w:pPr>
      <w:rPr>
        <w:rFonts w:hint="eastAsia"/>
        <w:b/>
      </w:rPr>
    </w:lvl>
    <w:lvl w:ilvl="1" w:tentative="0">
      <w:start w:val="1"/>
      <w:numFmt w:val="decimal"/>
      <w:pStyle w:val="3"/>
      <w:isLgl/>
      <w:lvlText w:val="%1.%2"/>
      <w:lvlJc w:val="left"/>
      <w:pPr>
        <w:ind w:left="992" w:hanging="567"/>
      </w:pPr>
      <w:rPr>
        <w:rFonts w:hint="eastAsia"/>
      </w:rPr>
    </w:lvl>
    <w:lvl w:ilvl="2" w:tentative="0">
      <w:start w:val="1"/>
      <w:numFmt w:val="decimal"/>
      <w:pStyle w:val="4"/>
      <w:isLgl/>
      <w:lvlText w:val="%1.%2.%3"/>
      <w:lvlJc w:val="left"/>
      <w:pPr>
        <w:ind w:left="1418" w:hanging="567"/>
      </w:pPr>
      <w:rPr>
        <w:rFonts w:hint="eastAsia"/>
      </w:rPr>
    </w:lvl>
    <w:lvl w:ilvl="3" w:tentative="0">
      <w:start w:val="1"/>
      <w:numFmt w:val="decimal"/>
      <w:pStyle w:val="5"/>
      <w:isLgl/>
      <w:lvlText w:val="%1.%2.%3.%4"/>
      <w:lvlJc w:val="left"/>
      <w:pPr>
        <w:ind w:left="1984" w:hanging="708"/>
      </w:pPr>
      <w:rPr>
        <w:rFonts w:hint="eastAsia"/>
      </w:rPr>
    </w:lvl>
    <w:lvl w:ilvl="4" w:tentative="0">
      <w:start w:val="1"/>
      <w:numFmt w:val="decimal"/>
      <w:pStyle w:val="6"/>
      <w:isLgl/>
      <w:lvlText w:val="%1.%2.%3.%4.%5"/>
      <w:lvlJc w:val="left"/>
      <w:pPr>
        <w:ind w:left="2551" w:hanging="850"/>
      </w:pPr>
      <w:rPr>
        <w:rFonts w:hint="eastAsia"/>
      </w:rPr>
    </w:lvl>
    <w:lvl w:ilvl="5" w:tentative="0">
      <w:start w:val="1"/>
      <w:numFmt w:val="decimal"/>
      <w:pStyle w:val="7"/>
      <w:isLgl/>
      <w:lvlText w:val="%1.%2.%3.%4.%5.%6"/>
      <w:lvlJc w:val="left"/>
      <w:pPr>
        <w:ind w:left="3260" w:hanging="1134"/>
      </w:pPr>
      <w:rPr>
        <w:rFonts w:hint="eastAsia"/>
      </w:rPr>
    </w:lvl>
    <w:lvl w:ilvl="6" w:tentative="0">
      <w:start w:val="1"/>
      <w:numFmt w:val="decimal"/>
      <w:pStyle w:val="8"/>
      <w:isLgl/>
      <w:lvlText w:val="%1.%2.%3.%4.%5.%6.%7"/>
      <w:lvlJc w:val="left"/>
      <w:pPr>
        <w:ind w:left="3827" w:hanging="1276"/>
      </w:pPr>
      <w:rPr>
        <w:rFonts w:hint="eastAsia"/>
      </w:rPr>
    </w:lvl>
    <w:lvl w:ilvl="7" w:tentative="0">
      <w:start w:val="1"/>
      <w:numFmt w:val="decimal"/>
      <w:pStyle w:val="9"/>
      <w:isLgl/>
      <w:lvlText w:val="%1.%2.%3.%4.%5.%6.%7.%8"/>
      <w:lvlJc w:val="left"/>
      <w:pPr>
        <w:ind w:left="4394" w:hanging="1418"/>
      </w:pPr>
      <w:rPr>
        <w:rFonts w:hint="eastAsia"/>
      </w:rPr>
    </w:lvl>
    <w:lvl w:ilvl="8" w:tentative="0">
      <w:start w:val="1"/>
      <w:numFmt w:val="decimal"/>
      <w:pStyle w:val="10"/>
      <w:isLgl/>
      <w:lvlText w:val="%1.%2.%3.%4.%5.%6.%7.%8.%9"/>
      <w:lvlJc w:val="left"/>
      <w:pPr>
        <w:ind w:left="5102" w:hanging="1700"/>
      </w:pPr>
      <w:rPr>
        <w:rFonts w:hint="eastAsia"/>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FC6"/>
    <w:rsid w:val="00007967"/>
    <w:rsid w:val="00026199"/>
    <w:rsid w:val="0003109C"/>
    <w:rsid w:val="00032B88"/>
    <w:rsid w:val="00033A86"/>
    <w:rsid w:val="000436D7"/>
    <w:rsid w:val="00044143"/>
    <w:rsid w:val="00052047"/>
    <w:rsid w:val="00052F63"/>
    <w:rsid w:val="000552ED"/>
    <w:rsid w:val="000574DD"/>
    <w:rsid w:val="00063DDF"/>
    <w:rsid w:val="000641D8"/>
    <w:rsid w:val="00064CE5"/>
    <w:rsid w:val="00065839"/>
    <w:rsid w:val="0006708A"/>
    <w:rsid w:val="00070FFE"/>
    <w:rsid w:val="000721C2"/>
    <w:rsid w:val="00076FE1"/>
    <w:rsid w:val="00077391"/>
    <w:rsid w:val="000829FC"/>
    <w:rsid w:val="00087D24"/>
    <w:rsid w:val="000926A3"/>
    <w:rsid w:val="00095CE8"/>
    <w:rsid w:val="00096DA9"/>
    <w:rsid w:val="00097196"/>
    <w:rsid w:val="000A14CF"/>
    <w:rsid w:val="000A2F0D"/>
    <w:rsid w:val="000A7E2F"/>
    <w:rsid w:val="000B042D"/>
    <w:rsid w:val="000B3E9A"/>
    <w:rsid w:val="000C11E7"/>
    <w:rsid w:val="000C12C0"/>
    <w:rsid w:val="000C1E52"/>
    <w:rsid w:val="000C49E1"/>
    <w:rsid w:val="000C7B55"/>
    <w:rsid w:val="000C7FD9"/>
    <w:rsid w:val="000D35EB"/>
    <w:rsid w:val="000E33CF"/>
    <w:rsid w:val="000E3932"/>
    <w:rsid w:val="000E393A"/>
    <w:rsid w:val="000E3953"/>
    <w:rsid w:val="000F056D"/>
    <w:rsid w:val="000F46A7"/>
    <w:rsid w:val="000F7EB3"/>
    <w:rsid w:val="00101DDC"/>
    <w:rsid w:val="00112887"/>
    <w:rsid w:val="00126D8A"/>
    <w:rsid w:val="0013045E"/>
    <w:rsid w:val="001308A5"/>
    <w:rsid w:val="0013132A"/>
    <w:rsid w:val="00134CAE"/>
    <w:rsid w:val="00136AE2"/>
    <w:rsid w:val="00140176"/>
    <w:rsid w:val="00143600"/>
    <w:rsid w:val="00144FC9"/>
    <w:rsid w:val="001451F9"/>
    <w:rsid w:val="00152A5E"/>
    <w:rsid w:val="00157D70"/>
    <w:rsid w:val="00161BF5"/>
    <w:rsid w:val="00165D4F"/>
    <w:rsid w:val="00166703"/>
    <w:rsid w:val="001808C6"/>
    <w:rsid w:val="00181907"/>
    <w:rsid w:val="001911DB"/>
    <w:rsid w:val="0019123A"/>
    <w:rsid w:val="001A3EB4"/>
    <w:rsid w:val="001A4F45"/>
    <w:rsid w:val="001A56B5"/>
    <w:rsid w:val="001C2481"/>
    <w:rsid w:val="001C5A16"/>
    <w:rsid w:val="001D2915"/>
    <w:rsid w:val="001D4B1B"/>
    <w:rsid w:val="001D4E74"/>
    <w:rsid w:val="001E5BD5"/>
    <w:rsid w:val="001F3C16"/>
    <w:rsid w:val="001F648B"/>
    <w:rsid w:val="002011E7"/>
    <w:rsid w:val="00207392"/>
    <w:rsid w:val="00207A6E"/>
    <w:rsid w:val="00214546"/>
    <w:rsid w:val="00215250"/>
    <w:rsid w:val="0021698D"/>
    <w:rsid w:val="00221739"/>
    <w:rsid w:val="00223126"/>
    <w:rsid w:val="00232217"/>
    <w:rsid w:val="00232F84"/>
    <w:rsid w:val="002347D9"/>
    <w:rsid w:val="00240A2D"/>
    <w:rsid w:val="00253507"/>
    <w:rsid w:val="002535CA"/>
    <w:rsid w:val="00255892"/>
    <w:rsid w:val="00260C7A"/>
    <w:rsid w:val="00263138"/>
    <w:rsid w:val="0026786C"/>
    <w:rsid w:val="00272E96"/>
    <w:rsid w:val="00273357"/>
    <w:rsid w:val="00275CB7"/>
    <w:rsid w:val="00277885"/>
    <w:rsid w:val="0028065B"/>
    <w:rsid w:val="00281883"/>
    <w:rsid w:val="00282FE8"/>
    <w:rsid w:val="0028529B"/>
    <w:rsid w:val="002875CE"/>
    <w:rsid w:val="0029127B"/>
    <w:rsid w:val="00291C19"/>
    <w:rsid w:val="00295829"/>
    <w:rsid w:val="002A50D6"/>
    <w:rsid w:val="002B6032"/>
    <w:rsid w:val="002C22A4"/>
    <w:rsid w:val="002C7A2E"/>
    <w:rsid w:val="002D26EA"/>
    <w:rsid w:val="002D3248"/>
    <w:rsid w:val="002D57AD"/>
    <w:rsid w:val="002E084D"/>
    <w:rsid w:val="002E7609"/>
    <w:rsid w:val="002F1478"/>
    <w:rsid w:val="00303688"/>
    <w:rsid w:val="003079BB"/>
    <w:rsid w:val="003148F2"/>
    <w:rsid w:val="00315BD2"/>
    <w:rsid w:val="00315EDD"/>
    <w:rsid w:val="00316262"/>
    <w:rsid w:val="00320DA7"/>
    <w:rsid w:val="00321FAA"/>
    <w:rsid w:val="00323D8C"/>
    <w:rsid w:val="00325BE0"/>
    <w:rsid w:val="00332B90"/>
    <w:rsid w:val="00334E69"/>
    <w:rsid w:val="003416AA"/>
    <w:rsid w:val="00351748"/>
    <w:rsid w:val="00351918"/>
    <w:rsid w:val="003522DF"/>
    <w:rsid w:val="003541B8"/>
    <w:rsid w:val="00363EE7"/>
    <w:rsid w:val="00365525"/>
    <w:rsid w:val="003674D2"/>
    <w:rsid w:val="003721C3"/>
    <w:rsid w:val="00372B68"/>
    <w:rsid w:val="0037471A"/>
    <w:rsid w:val="003844A9"/>
    <w:rsid w:val="00385772"/>
    <w:rsid w:val="003906BD"/>
    <w:rsid w:val="0039070C"/>
    <w:rsid w:val="00390A99"/>
    <w:rsid w:val="003929BF"/>
    <w:rsid w:val="00394E74"/>
    <w:rsid w:val="003953C1"/>
    <w:rsid w:val="0039743C"/>
    <w:rsid w:val="003A055D"/>
    <w:rsid w:val="003A5830"/>
    <w:rsid w:val="003A5B90"/>
    <w:rsid w:val="003A736F"/>
    <w:rsid w:val="003C38FB"/>
    <w:rsid w:val="003D1308"/>
    <w:rsid w:val="003E3D7C"/>
    <w:rsid w:val="003E4F84"/>
    <w:rsid w:val="003E5428"/>
    <w:rsid w:val="003E5C19"/>
    <w:rsid w:val="003F0B5C"/>
    <w:rsid w:val="003F1B81"/>
    <w:rsid w:val="003F6822"/>
    <w:rsid w:val="00413477"/>
    <w:rsid w:val="004137A8"/>
    <w:rsid w:val="00417118"/>
    <w:rsid w:val="00417D1A"/>
    <w:rsid w:val="00421BF7"/>
    <w:rsid w:val="00422085"/>
    <w:rsid w:val="0042308E"/>
    <w:rsid w:val="00430664"/>
    <w:rsid w:val="004310D0"/>
    <w:rsid w:val="00432604"/>
    <w:rsid w:val="00433D2F"/>
    <w:rsid w:val="00434797"/>
    <w:rsid w:val="00435CB4"/>
    <w:rsid w:val="0044439A"/>
    <w:rsid w:val="004472A8"/>
    <w:rsid w:val="00447654"/>
    <w:rsid w:val="00451E6A"/>
    <w:rsid w:val="00456423"/>
    <w:rsid w:val="00463566"/>
    <w:rsid w:val="004678E2"/>
    <w:rsid w:val="004708EB"/>
    <w:rsid w:val="00481486"/>
    <w:rsid w:val="00481C55"/>
    <w:rsid w:val="004825D9"/>
    <w:rsid w:val="00486601"/>
    <w:rsid w:val="0048682D"/>
    <w:rsid w:val="00491153"/>
    <w:rsid w:val="00496948"/>
    <w:rsid w:val="004A2A12"/>
    <w:rsid w:val="004B78E7"/>
    <w:rsid w:val="004B7D37"/>
    <w:rsid w:val="004C44EC"/>
    <w:rsid w:val="004D521B"/>
    <w:rsid w:val="004D7D24"/>
    <w:rsid w:val="004E03C1"/>
    <w:rsid w:val="004E7C63"/>
    <w:rsid w:val="004F5AC9"/>
    <w:rsid w:val="00502685"/>
    <w:rsid w:val="0050565F"/>
    <w:rsid w:val="005114F9"/>
    <w:rsid w:val="00515A02"/>
    <w:rsid w:val="00516009"/>
    <w:rsid w:val="0051E3F9"/>
    <w:rsid w:val="0052013A"/>
    <w:rsid w:val="0052388B"/>
    <w:rsid w:val="005275E3"/>
    <w:rsid w:val="00533919"/>
    <w:rsid w:val="0053569D"/>
    <w:rsid w:val="005356A5"/>
    <w:rsid w:val="005421E4"/>
    <w:rsid w:val="0054315D"/>
    <w:rsid w:val="005466E0"/>
    <w:rsid w:val="00546893"/>
    <w:rsid w:val="0055351B"/>
    <w:rsid w:val="00553934"/>
    <w:rsid w:val="00553A31"/>
    <w:rsid w:val="00560E84"/>
    <w:rsid w:val="00560F15"/>
    <w:rsid w:val="0056179D"/>
    <w:rsid w:val="005648CB"/>
    <w:rsid w:val="00571A93"/>
    <w:rsid w:val="00573F08"/>
    <w:rsid w:val="00576798"/>
    <w:rsid w:val="00580E22"/>
    <w:rsid w:val="0058656C"/>
    <w:rsid w:val="00590752"/>
    <w:rsid w:val="00594A3B"/>
    <w:rsid w:val="005A311F"/>
    <w:rsid w:val="005B1294"/>
    <w:rsid w:val="005B33ED"/>
    <w:rsid w:val="005B60A3"/>
    <w:rsid w:val="005B61B0"/>
    <w:rsid w:val="005C59CB"/>
    <w:rsid w:val="005C5A29"/>
    <w:rsid w:val="005C64BB"/>
    <w:rsid w:val="005D44C8"/>
    <w:rsid w:val="005E052E"/>
    <w:rsid w:val="005E1CD1"/>
    <w:rsid w:val="005E5002"/>
    <w:rsid w:val="005E51F8"/>
    <w:rsid w:val="005E6D36"/>
    <w:rsid w:val="005F195C"/>
    <w:rsid w:val="005F4679"/>
    <w:rsid w:val="005F602E"/>
    <w:rsid w:val="005F6548"/>
    <w:rsid w:val="00610763"/>
    <w:rsid w:val="00611F4F"/>
    <w:rsid w:val="00620540"/>
    <w:rsid w:val="0062381C"/>
    <w:rsid w:val="006327C1"/>
    <w:rsid w:val="0063542B"/>
    <w:rsid w:val="00636B26"/>
    <w:rsid w:val="00641A99"/>
    <w:rsid w:val="0065346B"/>
    <w:rsid w:val="00653CB4"/>
    <w:rsid w:val="006723BF"/>
    <w:rsid w:val="006771AF"/>
    <w:rsid w:val="00690167"/>
    <w:rsid w:val="00690CFF"/>
    <w:rsid w:val="006A4BB5"/>
    <w:rsid w:val="006A648D"/>
    <w:rsid w:val="006B0853"/>
    <w:rsid w:val="006B6314"/>
    <w:rsid w:val="006B7FAF"/>
    <w:rsid w:val="006C3460"/>
    <w:rsid w:val="006D1617"/>
    <w:rsid w:val="006E0C86"/>
    <w:rsid w:val="006E24FE"/>
    <w:rsid w:val="006E2607"/>
    <w:rsid w:val="006E3324"/>
    <w:rsid w:val="006F2959"/>
    <w:rsid w:val="006F559F"/>
    <w:rsid w:val="006F58DA"/>
    <w:rsid w:val="007016E0"/>
    <w:rsid w:val="00706A16"/>
    <w:rsid w:val="0070747A"/>
    <w:rsid w:val="00712306"/>
    <w:rsid w:val="007144B3"/>
    <w:rsid w:val="00717277"/>
    <w:rsid w:val="007358F6"/>
    <w:rsid w:val="007368F4"/>
    <w:rsid w:val="0074112B"/>
    <w:rsid w:val="00742CA8"/>
    <w:rsid w:val="0074673B"/>
    <w:rsid w:val="0075184E"/>
    <w:rsid w:val="0076344D"/>
    <w:rsid w:val="007671A5"/>
    <w:rsid w:val="00771082"/>
    <w:rsid w:val="00772A42"/>
    <w:rsid w:val="007768C0"/>
    <w:rsid w:val="00777E98"/>
    <w:rsid w:val="0078484B"/>
    <w:rsid w:val="00785FA3"/>
    <w:rsid w:val="0079085A"/>
    <w:rsid w:val="00791A0C"/>
    <w:rsid w:val="007A0CDA"/>
    <w:rsid w:val="007A4277"/>
    <w:rsid w:val="007A4CFA"/>
    <w:rsid w:val="007B0AA9"/>
    <w:rsid w:val="007B14A6"/>
    <w:rsid w:val="007B5067"/>
    <w:rsid w:val="007B542A"/>
    <w:rsid w:val="007C2225"/>
    <w:rsid w:val="007C2B53"/>
    <w:rsid w:val="007C4FFE"/>
    <w:rsid w:val="007D1BFA"/>
    <w:rsid w:val="007D346C"/>
    <w:rsid w:val="007E1D1C"/>
    <w:rsid w:val="007E4B0A"/>
    <w:rsid w:val="007F3F9D"/>
    <w:rsid w:val="008011F4"/>
    <w:rsid w:val="008017F8"/>
    <w:rsid w:val="00801A21"/>
    <w:rsid w:val="00806CE8"/>
    <w:rsid w:val="00810ED2"/>
    <w:rsid w:val="0081391D"/>
    <w:rsid w:val="0081428C"/>
    <w:rsid w:val="008175B1"/>
    <w:rsid w:val="00821326"/>
    <w:rsid w:val="0082317E"/>
    <w:rsid w:val="00826F34"/>
    <w:rsid w:val="00827F11"/>
    <w:rsid w:val="00831BED"/>
    <w:rsid w:val="0084040B"/>
    <w:rsid w:val="00840EC9"/>
    <w:rsid w:val="00841DDF"/>
    <w:rsid w:val="00845959"/>
    <w:rsid w:val="00862EC8"/>
    <w:rsid w:val="008646C0"/>
    <w:rsid w:val="0087144A"/>
    <w:rsid w:val="0087404C"/>
    <w:rsid w:val="00890F7B"/>
    <w:rsid w:val="0089461D"/>
    <w:rsid w:val="00895E1B"/>
    <w:rsid w:val="00897517"/>
    <w:rsid w:val="00897EDC"/>
    <w:rsid w:val="008A14D6"/>
    <w:rsid w:val="008A1F18"/>
    <w:rsid w:val="008A3845"/>
    <w:rsid w:val="008A60D2"/>
    <w:rsid w:val="008A7AD6"/>
    <w:rsid w:val="008B194B"/>
    <w:rsid w:val="008B21FA"/>
    <w:rsid w:val="008B2624"/>
    <w:rsid w:val="008B3D13"/>
    <w:rsid w:val="008C0217"/>
    <w:rsid w:val="008C0A40"/>
    <w:rsid w:val="008C5ABB"/>
    <w:rsid w:val="008C68A6"/>
    <w:rsid w:val="008C73FD"/>
    <w:rsid w:val="008D0037"/>
    <w:rsid w:val="008D4AD1"/>
    <w:rsid w:val="008D4F69"/>
    <w:rsid w:val="008D5A39"/>
    <w:rsid w:val="008E00EC"/>
    <w:rsid w:val="008E4BC1"/>
    <w:rsid w:val="00900F59"/>
    <w:rsid w:val="0090322B"/>
    <w:rsid w:val="0090575B"/>
    <w:rsid w:val="00907B3A"/>
    <w:rsid w:val="00914CBB"/>
    <w:rsid w:val="0092277D"/>
    <w:rsid w:val="009228F4"/>
    <w:rsid w:val="00923F4B"/>
    <w:rsid w:val="009318EC"/>
    <w:rsid w:val="00932691"/>
    <w:rsid w:val="009358CF"/>
    <w:rsid w:val="00944976"/>
    <w:rsid w:val="00944D24"/>
    <w:rsid w:val="00944F4C"/>
    <w:rsid w:val="0095484F"/>
    <w:rsid w:val="009565F0"/>
    <w:rsid w:val="0096481C"/>
    <w:rsid w:val="00972EB1"/>
    <w:rsid w:val="0098019C"/>
    <w:rsid w:val="00983400"/>
    <w:rsid w:val="00985CD3"/>
    <w:rsid w:val="009957F4"/>
    <w:rsid w:val="009975C4"/>
    <w:rsid w:val="009A3B28"/>
    <w:rsid w:val="009A6369"/>
    <w:rsid w:val="009A65F9"/>
    <w:rsid w:val="009B7E23"/>
    <w:rsid w:val="009C0C28"/>
    <w:rsid w:val="009C1FCE"/>
    <w:rsid w:val="009C2DC9"/>
    <w:rsid w:val="009C35CE"/>
    <w:rsid w:val="009C46B6"/>
    <w:rsid w:val="009C73AD"/>
    <w:rsid w:val="009D0DE2"/>
    <w:rsid w:val="009D7132"/>
    <w:rsid w:val="009D7BE7"/>
    <w:rsid w:val="009E0A42"/>
    <w:rsid w:val="009E327C"/>
    <w:rsid w:val="009E51B8"/>
    <w:rsid w:val="009E5E75"/>
    <w:rsid w:val="009F5E5B"/>
    <w:rsid w:val="009F6240"/>
    <w:rsid w:val="009F692A"/>
    <w:rsid w:val="00A05B80"/>
    <w:rsid w:val="00A139EC"/>
    <w:rsid w:val="00A15837"/>
    <w:rsid w:val="00A178DE"/>
    <w:rsid w:val="00A20822"/>
    <w:rsid w:val="00A22B00"/>
    <w:rsid w:val="00A24C23"/>
    <w:rsid w:val="00A26AB0"/>
    <w:rsid w:val="00A27197"/>
    <w:rsid w:val="00A27F48"/>
    <w:rsid w:val="00A30B05"/>
    <w:rsid w:val="00A30DF5"/>
    <w:rsid w:val="00A42286"/>
    <w:rsid w:val="00A45694"/>
    <w:rsid w:val="00A47046"/>
    <w:rsid w:val="00A5158E"/>
    <w:rsid w:val="00A53B00"/>
    <w:rsid w:val="00A6215C"/>
    <w:rsid w:val="00A64D87"/>
    <w:rsid w:val="00A65434"/>
    <w:rsid w:val="00A65AD1"/>
    <w:rsid w:val="00A66BE0"/>
    <w:rsid w:val="00A7410D"/>
    <w:rsid w:val="00A92256"/>
    <w:rsid w:val="00AA0ACB"/>
    <w:rsid w:val="00AA7DBB"/>
    <w:rsid w:val="00AB1EAD"/>
    <w:rsid w:val="00AB5F2E"/>
    <w:rsid w:val="00AC6AA1"/>
    <w:rsid w:val="00AD3834"/>
    <w:rsid w:val="00AD6A49"/>
    <w:rsid w:val="00AE106C"/>
    <w:rsid w:val="00AE1CAF"/>
    <w:rsid w:val="00AE1F6A"/>
    <w:rsid w:val="00AE259B"/>
    <w:rsid w:val="00AE323E"/>
    <w:rsid w:val="00AE32D3"/>
    <w:rsid w:val="00AF141B"/>
    <w:rsid w:val="00AF2BCA"/>
    <w:rsid w:val="00AF35DA"/>
    <w:rsid w:val="00AF6381"/>
    <w:rsid w:val="00AF6988"/>
    <w:rsid w:val="00AF6B07"/>
    <w:rsid w:val="00B007F0"/>
    <w:rsid w:val="00B00C4B"/>
    <w:rsid w:val="00B013EA"/>
    <w:rsid w:val="00B02A25"/>
    <w:rsid w:val="00B06AA6"/>
    <w:rsid w:val="00B14ACA"/>
    <w:rsid w:val="00B175E5"/>
    <w:rsid w:val="00B17A28"/>
    <w:rsid w:val="00B23003"/>
    <w:rsid w:val="00B230E5"/>
    <w:rsid w:val="00B243A0"/>
    <w:rsid w:val="00B362DA"/>
    <w:rsid w:val="00B36BCE"/>
    <w:rsid w:val="00B40BDE"/>
    <w:rsid w:val="00B4188D"/>
    <w:rsid w:val="00B43B32"/>
    <w:rsid w:val="00B446DA"/>
    <w:rsid w:val="00B464E9"/>
    <w:rsid w:val="00B54113"/>
    <w:rsid w:val="00B56790"/>
    <w:rsid w:val="00B63741"/>
    <w:rsid w:val="00B63A40"/>
    <w:rsid w:val="00B640FB"/>
    <w:rsid w:val="00B65271"/>
    <w:rsid w:val="00B659E5"/>
    <w:rsid w:val="00B73F6A"/>
    <w:rsid w:val="00B747FA"/>
    <w:rsid w:val="00B75FC0"/>
    <w:rsid w:val="00B779EE"/>
    <w:rsid w:val="00B851A0"/>
    <w:rsid w:val="00B85D77"/>
    <w:rsid w:val="00B85E4E"/>
    <w:rsid w:val="00B910AE"/>
    <w:rsid w:val="00B93FD0"/>
    <w:rsid w:val="00B94C2C"/>
    <w:rsid w:val="00BA74B7"/>
    <w:rsid w:val="00BB5A1E"/>
    <w:rsid w:val="00BC4CE1"/>
    <w:rsid w:val="00BC4E8D"/>
    <w:rsid w:val="00BD59E3"/>
    <w:rsid w:val="00BD6615"/>
    <w:rsid w:val="00BE3A90"/>
    <w:rsid w:val="00BE62B9"/>
    <w:rsid w:val="00BE6DEF"/>
    <w:rsid w:val="00BE7414"/>
    <w:rsid w:val="00BF2A2A"/>
    <w:rsid w:val="00BF42BF"/>
    <w:rsid w:val="00BF45A0"/>
    <w:rsid w:val="00C00A5F"/>
    <w:rsid w:val="00C0187A"/>
    <w:rsid w:val="00C02FC6"/>
    <w:rsid w:val="00C15403"/>
    <w:rsid w:val="00C15CDF"/>
    <w:rsid w:val="00C209FB"/>
    <w:rsid w:val="00C2303E"/>
    <w:rsid w:val="00C32B3E"/>
    <w:rsid w:val="00C36E4D"/>
    <w:rsid w:val="00C43B8F"/>
    <w:rsid w:val="00C4550E"/>
    <w:rsid w:val="00C627A6"/>
    <w:rsid w:val="00C653C0"/>
    <w:rsid w:val="00C80FFA"/>
    <w:rsid w:val="00C865D3"/>
    <w:rsid w:val="00C879BF"/>
    <w:rsid w:val="00CA0770"/>
    <w:rsid w:val="00CA14EE"/>
    <w:rsid w:val="00CB5982"/>
    <w:rsid w:val="00CC0914"/>
    <w:rsid w:val="00CC1455"/>
    <w:rsid w:val="00CD5CC9"/>
    <w:rsid w:val="00CE0D40"/>
    <w:rsid w:val="00CE499F"/>
    <w:rsid w:val="00CE7E7C"/>
    <w:rsid w:val="00CF00EE"/>
    <w:rsid w:val="00CF25E7"/>
    <w:rsid w:val="00D00642"/>
    <w:rsid w:val="00D01109"/>
    <w:rsid w:val="00D03384"/>
    <w:rsid w:val="00D05DBA"/>
    <w:rsid w:val="00D065E1"/>
    <w:rsid w:val="00D21632"/>
    <w:rsid w:val="00D21735"/>
    <w:rsid w:val="00D23E9D"/>
    <w:rsid w:val="00D31AF4"/>
    <w:rsid w:val="00D34C4D"/>
    <w:rsid w:val="00D364A3"/>
    <w:rsid w:val="00D40F76"/>
    <w:rsid w:val="00D554FA"/>
    <w:rsid w:val="00D602E6"/>
    <w:rsid w:val="00D619C7"/>
    <w:rsid w:val="00D672D1"/>
    <w:rsid w:val="00D90A20"/>
    <w:rsid w:val="00D90FD9"/>
    <w:rsid w:val="00D92E30"/>
    <w:rsid w:val="00D94EE1"/>
    <w:rsid w:val="00DA0668"/>
    <w:rsid w:val="00DA2F50"/>
    <w:rsid w:val="00DB4DA2"/>
    <w:rsid w:val="00DB6041"/>
    <w:rsid w:val="00DD2F29"/>
    <w:rsid w:val="00DD40D2"/>
    <w:rsid w:val="00DD5D13"/>
    <w:rsid w:val="00DE1420"/>
    <w:rsid w:val="00DF094A"/>
    <w:rsid w:val="00DF7298"/>
    <w:rsid w:val="00E00B0A"/>
    <w:rsid w:val="00E03283"/>
    <w:rsid w:val="00E06F8E"/>
    <w:rsid w:val="00E101AA"/>
    <w:rsid w:val="00E120EC"/>
    <w:rsid w:val="00E1660A"/>
    <w:rsid w:val="00E16938"/>
    <w:rsid w:val="00E22C01"/>
    <w:rsid w:val="00E30A10"/>
    <w:rsid w:val="00E371E1"/>
    <w:rsid w:val="00E426CE"/>
    <w:rsid w:val="00E42938"/>
    <w:rsid w:val="00E43188"/>
    <w:rsid w:val="00E44307"/>
    <w:rsid w:val="00E56670"/>
    <w:rsid w:val="00E62E7E"/>
    <w:rsid w:val="00E643B9"/>
    <w:rsid w:val="00E8560E"/>
    <w:rsid w:val="00E87EFD"/>
    <w:rsid w:val="00E909B3"/>
    <w:rsid w:val="00E91467"/>
    <w:rsid w:val="00EA4227"/>
    <w:rsid w:val="00EA6D98"/>
    <w:rsid w:val="00EC078D"/>
    <w:rsid w:val="00ED0A98"/>
    <w:rsid w:val="00ED5C77"/>
    <w:rsid w:val="00ED7394"/>
    <w:rsid w:val="00EE0E98"/>
    <w:rsid w:val="00EE5AB2"/>
    <w:rsid w:val="00EF16A3"/>
    <w:rsid w:val="00EF5DB4"/>
    <w:rsid w:val="00EF616B"/>
    <w:rsid w:val="00F042A3"/>
    <w:rsid w:val="00F04E3A"/>
    <w:rsid w:val="00F064CA"/>
    <w:rsid w:val="00F12B45"/>
    <w:rsid w:val="00F1664B"/>
    <w:rsid w:val="00F201C9"/>
    <w:rsid w:val="00F24890"/>
    <w:rsid w:val="00F25298"/>
    <w:rsid w:val="00F25FDC"/>
    <w:rsid w:val="00F346DA"/>
    <w:rsid w:val="00F44EC7"/>
    <w:rsid w:val="00F4649F"/>
    <w:rsid w:val="00F503F2"/>
    <w:rsid w:val="00F51659"/>
    <w:rsid w:val="00F51E1F"/>
    <w:rsid w:val="00F520C8"/>
    <w:rsid w:val="00F6038C"/>
    <w:rsid w:val="00F808DB"/>
    <w:rsid w:val="00F84F26"/>
    <w:rsid w:val="00F84F5F"/>
    <w:rsid w:val="00F86C46"/>
    <w:rsid w:val="00F902A0"/>
    <w:rsid w:val="00F972F7"/>
    <w:rsid w:val="00F9763A"/>
    <w:rsid w:val="00FA3330"/>
    <w:rsid w:val="00FA7647"/>
    <w:rsid w:val="00FB05F6"/>
    <w:rsid w:val="00FB18C5"/>
    <w:rsid w:val="00FB2465"/>
    <w:rsid w:val="00FC3F5E"/>
    <w:rsid w:val="00FC4952"/>
    <w:rsid w:val="00FD3381"/>
    <w:rsid w:val="00FF0E83"/>
    <w:rsid w:val="00FF32C7"/>
    <w:rsid w:val="00FF35C5"/>
    <w:rsid w:val="00FF7804"/>
    <w:rsid w:val="010444D5"/>
    <w:rsid w:val="014A834C"/>
    <w:rsid w:val="01877C23"/>
    <w:rsid w:val="01A3F679"/>
    <w:rsid w:val="01E6FE8C"/>
    <w:rsid w:val="02F7A055"/>
    <w:rsid w:val="038542FC"/>
    <w:rsid w:val="0393999F"/>
    <w:rsid w:val="03C85D8F"/>
    <w:rsid w:val="03F23E87"/>
    <w:rsid w:val="04215657"/>
    <w:rsid w:val="04D541F9"/>
    <w:rsid w:val="059815A4"/>
    <w:rsid w:val="05C57F91"/>
    <w:rsid w:val="05D4DE41"/>
    <w:rsid w:val="0604770C"/>
    <w:rsid w:val="06645F30"/>
    <w:rsid w:val="067A1458"/>
    <w:rsid w:val="06F3E75D"/>
    <w:rsid w:val="071694A6"/>
    <w:rsid w:val="07578645"/>
    <w:rsid w:val="07827649"/>
    <w:rsid w:val="087BB52E"/>
    <w:rsid w:val="08950B21"/>
    <w:rsid w:val="089D57B1"/>
    <w:rsid w:val="0990F7A6"/>
    <w:rsid w:val="0A0C4515"/>
    <w:rsid w:val="0A27ED3B"/>
    <w:rsid w:val="0A4A3624"/>
    <w:rsid w:val="0A795787"/>
    <w:rsid w:val="0B33ACBB"/>
    <w:rsid w:val="0B4023E5"/>
    <w:rsid w:val="0B728A57"/>
    <w:rsid w:val="0BF60777"/>
    <w:rsid w:val="0C05CFCF"/>
    <w:rsid w:val="0C3902C2"/>
    <w:rsid w:val="0CA88277"/>
    <w:rsid w:val="0D17A07D"/>
    <w:rsid w:val="0DAA31D4"/>
    <w:rsid w:val="0E1BE76E"/>
    <w:rsid w:val="0E58A6FD"/>
    <w:rsid w:val="0E92C2D1"/>
    <w:rsid w:val="0EA30395"/>
    <w:rsid w:val="0F37798B"/>
    <w:rsid w:val="0F6AA416"/>
    <w:rsid w:val="0FC3C198"/>
    <w:rsid w:val="106B1CF9"/>
    <w:rsid w:val="10725B31"/>
    <w:rsid w:val="10D44967"/>
    <w:rsid w:val="10DE7133"/>
    <w:rsid w:val="1128D0BA"/>
    <w:rsid w:val="11AE637F"/>
    <w:rsid w:val="11CA6393"/>
    <w:rsid w:val="11D3A64C"/>
    <w:rsid w:val="12632E68"/>
    <w:rsid w:val="128801F6"/>
    <w:rsid w:val="12DF2FCA"/>
    <w:rsid w:val="135F061F"/>
    <w:rsid w:val="137D2A50"/>
    <w:rsid w:val="13D5057A"/>
    <w:rsid w:val="13F80255"/>
    <w:rsid w:val="1416AA2C"/>
    <w:rsid w:val="1492C11E"/>
    <w:rsid w:val="1542F49D"/>
    <w:rsid w:val="1597DACD"/>
    <w:rsid w:val="15A2E673"/>
    <w:rsid w:val="164D2955"/>
    <w:rsid w:val="1695E7A4"/>
    <w:rsid w:val="169CF060"/>
    <w:rsid w:val="16A8E86F"/>
    <w:rsid w:val="16D800F4"/>
    <w:rsid w:val="16F5356C"/>
    <w:rsid w:val="1715A518"/>
    <w:rsid w:val="1790ADA6"/>
    <w:rsid w:val="17A2D280"/>
    <w:rsid w:val="17F5F5E7"/>
    <w:rsid w:val="184E375D"/>
    <w:rsid w:val="18B5061C"/>
    <w:rsid w:val="18E45887"/>
    <w:rsid w:val="18FDC444"/>
    <w:rsid w:val="199E4932"/>
    <w:rsid w:val="19C16A99"/>
    <w:rsid w:val="1A2DEA52"/>
    <w:rsid w:val="1A9B0161"/>
    <w:rsid w:val="1AD3EB12"/>
    <w:rsid w:val="1AF72A65"/>
    <w:rsid w:val="1B0C93DD"/>
    <w:rsid w:val="1B787C0E"/>
    <w:rsid w:val="1B92891F"/>
    <w:rsid w:val="1BDCAC40"/>
    <w:rsid w:val="1C2F8D97"/>
    <w:rsid w:val="1C4B74EA"/>
    <w:rsid w:val="1C868500"/>
    <w:rsid w:val="1C87249D"/>
    <w:rsid w:val="1D4B4E93"/>
    <w:rsid w:val="1D7DA9E5"/>
    <w:rsid w:val="1DE08958"/>
    <w:rsid w:val="1DE7B0D0"/>
    <w:rsid w:val="1E2641D7"/>
    <w:rsid w:val="1E6BE771"/>
    <w:rsid w:val="1EA78B2C"/>
    <w:rsid w:val="1EAA1954"/>
    <w:rsid w:val="1F08BE36"/>
    <w:rsid w:val="1F2AE6F3"/>
    <w:rsid w:val="1F383EAB"/>
    <w:rsid w:val="1F7E30D4"/>
    <w:rsid w:val="1F838131"/>
    <w:rsid w:val="1FCE9754"/>
    <w:rsid w:val="202DF07C"/>
    <w:rsid w:val="20603219"/>
    <w:rsid w:val="206AC5FD"/>
    <w:rsid w:val="206BE76F"/>
    <w:rsid w:val="20BB48FF"/>
    <w:rsid w:val="20C29AB7"/>
    <w:rsid w:val="21700512"/>
    <w:rsid w:val="21815D06"/>
    <w:rsid w:val="21A1157C"/>
    <w:rsid w:val="226E89FA"/>
    <w:rsid w:val="227954C7"/>
    <w:rsid w:val="23A112FB"/>
    <w:rsid w:val="23D664E2"/>
    <w:rsid w:val="2489EF6E"/>
    <w:rsid w:val="24EAED34"/>
    <w:rsid w:val="25679B4F"/>
    <w:rsid w:val="25DBC662"/>
    <w:rsid w:val="261A8AA0"/>
    <w:rsid w:val="26814612"/>
    <w:rsid w:val="26E3ADF1"/>
    <w:rsid w:val="28176DCC"/>
    <w:rsid w:val="289F3C11"/>
    <w:rsid w:val="292A6377"/>
    <w:rsid w:val="2981C42D"/>
    <w:rsid w:val="2A0F0B0F"/>
    <w:rsid w:val="2A923669"/>
    <w:rsid w:val="2A975724"/>
    <w:rsid w:val="2A97FCCE"/>
    <w:rsid w:val="2BF70F46"/>
    <w:rsid w:val="2D04A614"/>
    <w:rsid w:val="2DADEBCD"/>
    <w:rsid w:val="2F927726"/>
    <w:rsid w:val="30024652"/>
    <w:rsid w:val="300A2E0E"/>
    <w:rsid w:val="3021BEEB"/>
    <w:rsid w:val="30F34017"/>
    <w:rsid w:val="31859BDC"/>
    <w:rsid w:val="31891191"/>
    <w:rsid w:val="318CD612"/>
    <w:rsid w:val="31A5FE6F"/>
    <w:rsid w:val="31E89D7D"/>
    <w:rsid w:val="32D669BA"/>
    <w:rsid w:val="33449896"/>
    <w:rsid w:val="33787A2B"/>
    <w:rsid w:val="33DA42FC"/>
    <w:rsid w:val="3466B9B6"/>
    <w:rsid w:val="34B58BA2"/>
    <w:rsid w:val="35E1FB1F"/>
    <w:rsid w:val="360EDC5D"/>
    <w:rsid w:val="36604735"/>
    <w:rsid w:val="3696A463"/>
    <w:rsid w:val="36CA6335"/>
    <w:rsid w:val="36D99643"/>
    <w:rsid w:val="374886E1"/>
    <w:rsid w:val="374C1CA2"/>
    <w:rsid w:val="3787CCFC"/>
    <w:rsid w:val="37BE7053"/>
    <w:rsid w:val="37CC0D01"/>
    <w:rsid w:val="37E87EDF"/>
    <w:rsid w:val="37FD237A"/>
    <w:rsid w:val="38A338CF"/>
    <w:rsid w:val="3960973E"/>
    <w:rsid w:val="3980692E"/>
    <w:rsid w:val="39BD5660"/>
    <w:rsid w:val="39FED0C5"/>
    <w:rsid w:val="3A2D42C9"/>
    <w:rsid w:val="3A37D411"/>
    <w:rsid w:val="3AA01F13"/>
    <w:rsid w:val="3AE5D8D3"/>
    <w:rsid w:val="3B66B3BF"/>
    <w:rsid w:val="3BA65298"/>
    <w:rsid w:val="3BBF3E06"/>
    <w:rsid w:val="3C277B4B"/>
    <w:rsid w:val="3C3FFA56"/>
    <w:rsid w:val="3C41179B"/>
    <w:rsid w:val="3CF1F995"/>
    <w:rsid w:val="3D0032AF"/>
    <w:rsid w:val="3D562ABA"/>
    <w:rsid w:val="3D7DF8FB"/>
    <w:rsid w:val="3D94DD91"/>
    <w:rsid w:val="3D977C1F"/>
    <w:rsid w:val="3E05757C"/>
    <w:rsid w:val="3E5447EC"/>
    <w:rsid w:val="3E57C063"/>
    <w:rsid w:val="3ED0E671"/>
    <w:rsid w:val="3EDBE1CC"/>
    <w:rsid w:val="3EE9141E"/>
    <w:rsid w:val="3EEED2F6"/>
    <w:rsid w:val="3F11A11B"/>
    <w:rsid w:val="3FB2F8C8"/>
    <w:rsid w:val="3FC34A1B"/>
    <w:rsid w:val="402051D8"/>
    <w:rsid w:val="405207F2"/>
    <w:rsid w:val="40C83D15"/>
    <w:rsid w:val="411E5E3B"/>
    <w:rsid w:val="41EBCAF1"/>
    <w:rsid w:val="42597100"/>
    <w:rsid w:val="428ECF49"/>
    <w:rsid w:val="431ABEA3"/>
    <w:rsid w:val="43355CC2"/>
    <w:rsid w:val="44C7A50C"/>
    <w:rsid w:val="4531E2A9"/>
    <w:rsid w:val="47209A5F"/>
    <w:rsid w:val="472BF599"/>
    <w:rsid w:val="4812C9D3"/>
    <w:rsid w:val="4847F96F"/>
    <w:rsid w:val="488ECF3B"/>
    <w:rsid w:val="4897C74D"/>
    <w:rsid w:val="48DFB1A0"/>
    <w:rsid w:val="492633C9"/>
    <w:rsid w:val="4A77777C"/>
    <w:rsid w:val="4B46F42E"/>
    <w:rsid w:val="4B4DFCEA"/>
    <w:rsid w:val="4B52D8B8"/>
    <w:rsid w:val="4B6805EB"/>
    <w:rsid w:val="4C755BFA"/>
    <w:rsid w:val="4DD6BC95"/>
    <w:rsid w:val="507A3DA1"/>
    <w:rsid w:val="50F9D823"/>
    <w:rsid w:val="50FFD561"/>
    <w:rsid w:val="519F3F71"/>
    <w:rsid w:val="527DD6C6"/>
    <w:rsid w:val="5293B83C"/>
    <w:rsid w:val="5379F77D"/>
    <w:rsid w:val="53877B2F"/>
    <w:rsid w:val="53A755F7"/>
    <w:rsid w:val="53D47170"/>
    <w:rsid w:val="53E0156D"/>
    <w:rsid w:val="54EFBA99"/>
    <w:rsid w:val="55BC4F7E"/>
    <w:rsid w:val="55CA09CA"/>
    <w:rsid w:val="5697D6D0"/>
    <w:rsid w:val="572A6CA7"/>
    <w:rsid w:val="573FF954"/>
    <w:rsid w:val="5748E718"/>
    <w:rsid w:val="574D43D1"/>
    <w:rsid w:val="57DDD92B"/>
    <w:rsid w:val="581603D2"/>
    <w:rsid w:val="581DE355"/>
    <w:rsid w:val="583F3602"/>
    <w:rsid w:val="58AC58BB"/>
    <w:rsid w:val="59143497"/>
    <w:rsid w:val="594BC3CE"/>
    <w:rsid w:val="59638184"/>
    <w:rsid w:val="59A3AA5B"/>
    <w:rsid w:val="59A77651"/>
    <w:rsid w:val="5AEFDD2E"/>
    <w:rsid w:val="5B954FCC"/>
    <w:rsid w:val="5BDC4C2B"/>
    <w:rsid w:val="5BEA8545"/>
    <w:rsid w:val="5C67AEAB"/>
    <w:rsid w:val="5C680D1B"/>
    <w:rsid w:val="5CC01182"/>
    <w:rsid w:val="5D649E0A"/>
    <w:rsid w:val="5D9F86FC"/>
    <w:rsid w:val="5DEF8E82"/>
    <w:rsid w:val="5DFB9875"/>
    <w:rsid w:val="5DFFA0D3"/>
    <w:rsid w:val="5E1FBEC2"/>
    <w:rsid w:val="5E371354"/>
    <w:rsid w:val="5ECF7183"/>
    <w:rsid w:val="5F7FB870"/>
    <w:rsid w:val="5F8B63A1"/>
    <w:rsid w:val="5FF22C42"/>
    <w:rsid w:val="607950FB"/>
    <w:rsid w:val="613B092C"/>
    <w:rsid w:val="614C5738"/>
    <w:rsid w:val="6151D3A4"/>
    <w:rsid w:val="617BA153"/>
    <w:rsid w:val="6295F92E"/>
    <w:rsid w:val="636E11C1"/>
    <w:rsid w:val="63944127"/>
    <w:rsid w:val="646E8213"/>
    <w:rsid w:val="64ACBC49"/>
    <w:rsid w:val="6517F229"/>
    <w:rsid w:val="651EFAE5"/>
    <w:rsid w:val="65268977"/>
    <w:rsid w:val="65680878"/>
    <w:rsid w:val="65EC3A9A"/>
    <w:rsid w:val="65EEF9F4"/>
    <w:rsid w:val="66620EAB"/>
    <w:rsid w:val="671DA722"/>
    <w:rsid w:val="67213875"/>
    <w:rsid w:val="677D4D29"/>
    <w:rsid w:val="67967586"/>
    <w:rsid w:val="67A56BAD"/>
    <w:rsid w:val="67CE27C6"/>
    <w:rsid w:val="68219CEC"/>
    <w:rsid w:val="68D06D63"/>
    <w:rsid w:val="68FF3146"/>
    <w:rsid w:val="69191D8A"/>
    <w:rsid w:val="693CFA0F"/>
    <w:rsid w:val="699D0248"/>
    <w:rsid w:val="69BD6D4D"/>
    <w:rsid w:val="6A342D2C"/>
    <w:rsid w:val="6A92967D"/>
    <w:rsid w:val="6B182916"/>
    <w:rsid w:val="6B2B4312"/>
    <w:rsid w:val="6B593DAE"/>
    <w:rsid w:val="6B73C513"/>
    <w:rsid w:val="6BA8B0DE"/>
    <w:rsid w:val="6CC199A8"/>
    <w:rsid w:val="6DDB53D6"/>
    <w:rsid w:val="6DEECD1E"/>
    <w:rsid w:val="6DFFC143"/>
    <w:rsid w:val="6E0E0892"/>
    <w:rsid w:val="6E60B9C0"/>
    <w:rsid w:val="6E90DE70"/>
    <w:rsid w:val="6E93FA62"/>
    <w:rsid w:val="6F54ECDC"/>
    <w:rsid w:val="6F608F47"/>
    <w:rsid w:val="6F7F2584"/>
    <w:rsid w:val="6F8FFCF2"/>
    <w:rsid w:val="6FBC62C4"/>
    <w:rsid w:val="6FE54F6A"/>
    <w:rsid w:val="6FF78660"/>
    <w:rsid w:val="702CAED1"/>
    <w:rsid w:val="714212D2"/>
    <w:rsid w:val="715337C3"/>
    <w:rsid w:val="71E3D8BE"/>
    <w:rsid w:val="72675887"/>
    <w:rsid w:val="72A04623"/>
    <w:rsid w:val="72AD5D59"/>
    <w:rsid w:val="7346E267"/>
    <w:rsid w:val="73E7CB7C"/>
    <w:rsid w:val="74EE2F12"/>
    <w:rsid w:val="76655C00"/>
    <w:rsid w:val="769DD170"/>
    <w:rsid w:val="76C87D9D"/>
    <w:rsid w:val="772BA772"/>
    <w:rsid w:val="77AFAD4F"/>
    <w:rsid w:val="77EB9601"/>
    <w:rsid w:val="77ED5E3E"/>
    <w:rsid w:val="77F4B719"/>
    <w:rsid w:val="78A489EF"/>
    <w:rsid w:val="7921066D"/>
    <w:rsid w:val="798ABE04"/>
    <w:rsid w:val="79B13FED"/>
    <w:rsid w:val="79E230A5"/>
    <w:rsid w:val="7A11C970"/>
    <w:rsid w:val="7A25F8A4"/>
    <w:rsid w:val="7A3C2CA4"/>
    <w:rsid w:val="7A7A4714"/>
    <w:rsid w:val="7AD6C4CA"/>
    <w:rsid w:val="7B16C73A"/>
    <w:rsid w:val="7C0EDC17"/>
    <w:rsid w:val="7C8E4907"/>
    <w:rsid w:val="7CA15CC4"/>
    <w:rsid w:val="7CCAE2F7"/>
    <w:rsid w:val="7D0702F8"/>
    <w:rsid w:val="7D4EF9D8"/>
    <w:rsid w:val="7D7D7217"/>
    <w:rsid w:val="7D9BAE5B"/>
    <w:rsid w:val="7DE0AAB2"/>
    <w:rsid w:val="7DEFB233"/>
    <w:rsid w:val="7E79C74F"/>
    <w:rsid w:val="7EBF5393"/>
    <w:rsid w:val="7F4A400A"/>
    <w:rsid w:val="7FCCFE07"/>
    <w:rsid w:val="7FF641EE"/>
    <w:rsid w:val="7FFE10D5"/>
    <w:rsid w:val="89CEC6AD"/>
    <w:rsid w:val="8BBBF482"/>
    <w:rsid w:val="8FFF579B"/>
    <w:rsid w:val="ACB62C6D"/>
    <w:rsid w:val="B5BE4DE4"/>
    <w:rsid w:val="B71F5736"/>
    <w:rsid w:val="BBF89F03"/>
    <w:rsid w:val="BF56F5ED"/>
    <w:rsid w:val="BFEF2F79"/>
    <w:rsid w:val="BFFF99C2"/>
    <w:rsid w:val="CBAB16A4"/>
    <w:rsid w:val="CBB73689"/>
    <w:rsid w:val="CF6FB2EF"/>
    <w:rsid w:val="D6342120"/>
    <w:rsid w:val="DEB72F1C"/>
    <w:rsid w:val="DEBE1C38"/>
    <w:rsid w:val="DF0FE6DC"/>
    <w:rsid w:val="E5385BF3"/>
    <w:rsid w:val="EBFFEC74"/>
    <w:rsid w:val="EFBF66FB"/>
    <w:rsid w:val="EFDE0DB1"/>
    <w:rsid w:val="EFF95680"/>
    <w:rsid w:val="F0AF6362"/>
    <w:rsid w:val="F8FBE79C"/>
    <w:rsid w:val="FB3B7D00"/>
    <w:rsid w:val="FB7F21FA"/>
    <w:rsid w:val="FB9A0F08"/>
    <w:rsid w:val="FBE4EFE2"/>
    <w:rsid w:val="FEFD3E5B"/>
    <w:rsid w:val="FF7F03AE"/>
    <w:rsid w:val="FF973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link w:val="32"/>
    <w:qFormat/>
    <w:uiPriority w:val="9"/>
    <w:pPr>
      <w:keepNext/>
      <w:keepLines/>
      <w:numPr>
        <w:ilvl w:val="0"/>
        <w:numId w:val="1"/>
      </w:numPr>
      <w:spacing w:line="480" w:lineRule="auto"/>
      <w:outlineLvl w:val="0"/>
    </w:pPr>
    <w:rPr>
      <w:b/>
      <w:bCs/>
      <w:kern w:val="44"/>
      <w:sz w:val="30"/>
      <w:szCs w:val="30"/>
    </w:rPr>
  </w:style>
  <w:style w:type="paragraph" w:styleId="3">
    <w:name w:val="heading 2"/>
    <w:basedOn w:val="1"/>
    <w:next w:val="1"/>
    <w:link w:val="33"/>
    <w:qFormat/>
    <w:uiPriority w:val="9"/>
    <w:pPr>
      <w:keepNext/>
      <w:keepLines/>
      <w:numPr>
        <w:ilvl w:val="1"/>
        <w:numId w:val="1"/>
      </w:numPr>
      <w:outlineLvl w:val="1"/>
    </w:pPr>
    <w:rPr>
      <w:rFonts w:asciiTheme="majorHAnsi" w:hAnsiTheme="majorHAnsi" w:eastAsiaTheme="majorEastAsia" w:cstheme="majorBidi"/>
      <w:b/>
      <w:bCs/>
      <w:sz w:val="32"/>
      <w:szCs w:val="32"/>
    </w:rPr>
  </w:style>
  <w:style w:type="paragraph" w:styleId="4">
    <w:name w:val="heading 3"/>
    <w:basedOn w:val="1"/>
    <w:next w:val="1"/>
    <w:link w:val="34"/>
    <w:qFormat/>
    <w:uiPriority w:val="9"/>
    <w:pPr>
      <w:keepNext/>
      <w:keepLines/>
      <w:numPr>
        <w:ilvl w:val="2"/>
        <w:numId w:val="1"/>
      </w:numPr>
      <w:spacing w:before="100" w:after="100"/>
      <w:outlineLvl w:val="2"/>
    </w:pPr>
    <w:rPr>
      <w:b/>
      <w:bCs/>
      <w:sz w:val="32"/>
      <w:szCs w:val="32"/>
    </w:rPr>
  </w:style>
  <w:style w:type="paragraph" w:styleId="5">
    <w:name w:val="heading 4"/>
    <w:basedOn w:val="1"/>
    <w:next w:val="1"/>
    <w:link w:val="35"/>
    <w:qFormat/>
    <w:uiPriority w:val="9"/>
    <w:pPr>
      <w:keepNext/>
      <w:keepLines/>
      <w:numPr>
        <w:ilvl w:val="3"/>
        <w:numId w:val="1"/>
      </w:numPr>
      <w:spacing w:before="249" w:beforeLines="80" w:after="249" w:afterLines="80"/>
      <w:outlineLvl w:val="3"/>
    </w:pPr>
    <w:rPr>
      <w:rFonts w:asciiTheme="majorHAnsi" w:hAnsiTheme="majorHAnsi" w:eastAsiaTheme="majorEastAsia" w:cstheme="majorBidi"/>
      <w:b/>
      <w:bCs/>
      <w:sz w:val="28"/>
      <w:szCs w:val="28"/>
    </w:rPr>
  </w:style>
  <w:style w:type="paragraph" w:styleId="6">
    <w:name w:val="heading 5"/>
    <w:basedOn w:val="1"/>
    <w:next w:val="1"/>
    <w:link w:val="36"/>
    <w:qFormat/>
    <w:uiPriority w:val="9"/>
    <w:pPr>
      <w:keepNext/>
      <w:keepLines/>
      <w:numPr>
        <w:ilvl w:val="4"/>
        <w:numId w:val="1"/>
      </w:numPr>
      <w:spacing w:before="249" w:beforeLines="80" w:after="249" w:afterLines="80"/>
      <w:outlineLvl w:val="4"/>
    </w:pPr>
    <w:rPr>
      <w:b/>
      <w:bCs/>
      <w:sz w:val="28"/>
      <w:szCs w:val="28"/>
    </w:rPr>
  </w:style>
  <w:style w:type="paragraph" w:styleId="7">
    <w:name w:val="heading 6"/>
    <w:basedOn w:val="1"/>
    <w:next w:val="1"/>
    <w:link w:val="37"/>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8"/>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9"/>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40"/>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5">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annotation subject"/>
    <w:basedOn w:val="12"/>
    <w:next w:val="12"/>
    <w:link w:val="50"/>
    <w:unhideWhenUsed/>
    <w:qFormat/>
    <w:uiPriority w:val="99"/>
    <w:rPr>
      <w:b/>
      <w:bCs/>
    </w:rPr>
  </w:style>
  <w:style w:type="paragraph" w:styleId="12">
    <w:name w:val="annotation text"/>
    <w:basedOn w:val="1"/>
    <w:link w:val="49"/>
    <w:unhideWhenUsed/>
    <w:qFormat/>
    <w:uiPriority w:val="99"/>
    <w:pPr>
      <w:jc w:val="left"/>
    </w:pPr>
  </w:style>
  <w:style w:type="paragraph" w:styleId="13">
    <w:name w:val="caption"/>
    <w:basedOn w:val="1"/>
    <w:next w:val="1"/>
    <w:unhideWhenUsed/>
    <w:qFormat/>
    <w:uiPriority w:val="35"/>
    <w:rPr>
      <w:rFonts w:eastAsia="黑体" w:asciiTheme="majorHAnsi" w:hAnsiTheme="majorHAnsi" w:cstheme="majorBidi"/>
      <w:sz w:val="20"/>
      <w:szCs w:val="20"/>
    </w:rPr>
  </w:style>
  <w:style w:type="paragraph" w:styleId="14">
    <w:name w:val="Body Text"/>
    <w:basedOn w:val="1"/>
    <w:link w:val="60"/>
    <w:qFormat/>
    <w:uiPriority w:val="1"/>
    <w:pPr>
      <w:spacing w:line="240" w:lineRule="auto"/>
      <w:ind w:left="386"/>
      <w:jc w:val="left"/>
    </w:pPr>
    <w:rPr>
      <w:rFonts w:ascii="宋体" w:hAnsi="宋体" w:eastAsia="宋体"/>
      <w:kern w:val="0"/>
      <w:sz w:val="24"/>
      <w:szCs w:val="24"/>
      <w:lang w:eastAsia="en-US"/>
    </w:rPr>
  </w:style>
  <w:style w:type="paragraph" w:styleId="15">
    <w:name w:val="toc 3"/>
    <w:basedOn w:val="1"/>
    <w:next w:val="1"/>
    <w:unhideWhenUsed/>
    <w:qFormat/>
    <w:uiPriority w:val="39"/>
    <w:pPr>
      <w:ind w:left="840" w:leftChars="400"/>
    </w:pPr>
  </w:style>
  <w:style w:type="paragraph" w:styleId="16">
    <w:name w:val="Date"/>
    <w:basedOn w:val="1"/>
    <w:next w:val="1"/>
    <w:link w:val="48"/>
    <w:unhideWhenUsed/>
    <w:qFormat/>
    <w:uiPriority w:val="99"/>
    <w:pPr>
      <w:ind w:left="100" w:leftChars="2500"/>
    </w:pPr>
  </w:style>
  <w:style w:type="paragraph" w:styleId="17">
    <w:name w:val="endnote text"/>
    <w:basedOn w:val="1"/>
    <w:link w:val="66"/>
    <w:unhideWhenUsed/>
    <w:qFormat/>
    <w:uiPriority w:val="99"/>
    <w:pPr>
      <w:snapToGrid w:val="0"/>
      <w:jc w:val="left"/>
    </w:pPr>
  </w:style>
  <w:style w:type="paragraph" w:styleId="18">
    <w:name w:val="Balloon Text"/>
    <w:basedOn w:val="1"/>
    <w:link w:val="51"/>
    <w:unhideWhenUsed/>
    <w:qFormat/>
    <w:uiPriority w:val="99"/>
    <w:pPr>
      <w:spacing w:line="240" w:lineRule="auto"/>
    </w:pPr>
    <w:rPr>
      <w:sz w:val="18"/>
      <w:szCs w:val="18"/>
    </w:rPr>
  </w:style>
  <w:style w:type="paragraph" w:styleId="19">
    <w:name w:val="footer"/>
    <w:basedOn w:val="1"/>
    <w:link w:val="45"/>
    <w:unhideWhenUsed/>
    <w:qFormat/>
    <w:uiPriority w:val="99"/>
    <w:pPr>
      <w:tabs>
        <w:tab w:val="center" w:pos="4153"/>
        <w:tab w:val="right" w:pos="8306"/>
      </w:tabs>
      <w:snapToGrid w:val="0"/>
      <w:spacing w:line="240" w:lineRule="auto"/>
      <w:jc w:val="left"/>
    </w:pPr>
    <w:rPr>
      <w:sz w:val="18"/>
      <w:szCs w:val="18"/>
    </w:rPr>
  </w:style>
  <w:style w:type="paragraph" w:styleId="20">
    <w:name w:val="header"/>
    <w:basedOn w:val="1"/>
    <w:link w:val="44"/>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unhideWhenUsed/>
    <w:qFormat/>
    <w:uiPriority w:val="39"/>
  </w:style>
  <w:style w:type="paragraph" w:styleId="22">
    <w:name w:val="footnote text"/>
    <w:basedOn w:val="1"/>
    <w:link w:val="65"/>
    <w:unhideWhenUsed/>
    <w:qFormat/>
    <w:uiPriority w:val="99"/>
    <w:pPr>
      <w:snapToGrid w:val="0"/>
      <w:jc w:val="left"/>
    </w:pPr>
    <w:rPr>
      <w:sz w:val="18"/>
      <w:szCs w:val="18"/>
    </w:rPr>
  </w:style>
  <w:style w:type="paragraph" w:styleId="23">
    <w:name w:val="toc 2"/>
    <w:basedOn w:val="1"/>
    <w:next w:val="1"/>
    <w:unhideWhenUsed/>
    <w:qFormat/>
    <w:uiPriority w:val="39"/>
    <w:pPr>
      <w:ind w:left="420" w:leftChars="200"/>
    </w:pPr>
  </w:style>
  <w:style w:type="paragraph" w:styleId="24">
    <w:name w:val="Normal (Web)"/>
    <w:basedOn w:val="1"/>
    <w:unhideWhenUsed/>
    <w:qFormat/>
    <w:uiPriority w:val="99"/>
    <w:pPr>
      <w:widowControl/>
      <w:spacing w:before="100" w:beforeAutospacing="1" w:after="100" w:afterAutospacing="1" w:line="240" w:lineRule="auto"/>
      <w:jc w:val="left"/>
    </w:pPr>
    <w:rPr>
      <w:rFonts w:ascii="宋体" w:hAnsi="宋体" w:eastAsia="宋体" w:cs="宋体"/>
      <w:kern w:val="0"/>
      <w:sz w:val="24"/>
      <w:szCs w:val="24"/>
    </w:rPr>
  </w:style>
  <w:style w:type="character" w:styleId="26">
    <w:name w:val="endnote reference"/>
    <w:basedOn w:val="25"/>
    <w:unhideWhenUsed/>
    <w:qFormat/>
    <w:uiPriority w:val="99"/>
    <w:rPr>
      <w:vertAlign w:val="superscript"/>
    </w:rPr>
  </w:style>
  <w:style w:type="character" w:styleId="27">
    <w:name w:val="Hyperlink"/>
    <w:basedOn w:val="25"/>
    <w:unhideWhenUsed/>
    <w:qFormat/>
    <w:uiPriority w:val="99"/>
    <w:rPr>
      <w:color w:val="0563C1" w:themeColor="hyperlink"/>
      <w:u w:val="single"/>
      <w14:textFill>
        <w14:solidFill>
          <w14:schemeClr w14:val="hlink"/>
        </w14:solidFill>
      </w14:textFill>
    </w:rPr>
  </w:style>
  <w:style w:type="character" w:styleId="28">
    <w:name w:val="annotation reference"/>
    <w:basedOn w:val="25"/>
    <w:unhideWhenUsed/>
    <w:qFormat/>
    <w:uiPriority w:val="0"/>
    <w:rPr>
      <w:sz w:val="21"/>
      <w:szCs w:val="21"/>
    </w:rPr>
  </w:style>
  <w:style w:type="character" w:styleId="29">
    <w:name w:val="footnote reference"/>
    <w:basedOn w:val="25"/>
    <w:unhideWhenUsed/>
    <w:qFormat/>
    <w:uiPriority w:val="99"/>
    <w:rPr>
      <w:vertAlign w:val="superscript"/>
    </w:rPr>
  </w:style>
  <w:style w:type="table" w:styleId="31">
    <w:name w:val="Table Grid"/>
    <w:basedOn w:val="30"/>
    <w:qFormat/>
    <w:uiPriority w:val="39"/>
    <w:pPr>
      <w:spacing w:after="0" w:line="240" w:lineRule="auto"/>
    </w:pPr>
    <w:rPr>
      <w:rFonts w:ascii="Arial Narrow" w:hAnsi="Arial Narrow" w:eastAsia="Calibri" w:cs="Arial"/>
      <w:sz w:val="24"/>
      <w:szCs w:val="24"/>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
    <w:name w:val="标题 1 字符"/>
    <w:basedOn w:val="25"/>
    <w:link w:val="2"/>
    <w:qFormat/>
    <w:uiPriority w:val="9"/>
    <w:rPr>
      <w:rFonts w:asciiTheme="minorHAnsi" w:hAnsiTheme="minorHAnsi" w:eastAsiaTheme="minorEastAsia" w:cstheme="minorBidi"/>
      <w:b/>
      <w:bCs/>
      <w:kern w:val="44"/>
      <w:sz w:val="30"/>
      <w:szCs w:val="30"/>
    </w:rPr>
  </w:style>
  <w:style w:type="character" w:customStyle="1" w:styleId="33">
    <w:name w:val="标题 2 字符"/>
    <w:basedOn w:val="25"/>
    <w:link w:val="3"/>
    <w:qFormat/>
    <w:uiPriority w:val="9"/>
    <w:rPr>
      <w:rFonts w:asciiTheme="majorHAnsi" w:hAnsiTheme="majorHAnsi" w:eastAsiaTheme="majorEastAsia" w:cstheme="majorBidi"/>
      <w:b/>
      <w:bCs/>
      <w:kern w:val="2"/>
      <w:sz w:val="32"/>
      <w:szCs w:val="32"/>
    </w:rPr>
  </w:style>
  <w:style w:type="character" w:customStyle="1" w:styleId="34">
    <w:name w:val="标题 3 字符"/>
    <w:basedOn w:val="25"/>
    <w:link w:val="4"/>
    <w:qFormat/>
    <w:uiPriority w:val="9"/>
    <w:rPr>
      <w:rFonts w:asciiTheme="minorHAnsi" w:hAnsiTheme="minorHAnsi" w:eastAsiaTheme="minorEastAsia" w:cstheme="minorBidi"/>
      <w:b/>
      <w:bCs/>
      <w:kern w:val="2"/>
      <w:sz w:val="32"/>
      <w:szCs w:val="32"/>
    </w:rPr>
  </w:style>
  <w:style w:type="character" w:customStyle="1" w:styleId="35">
    <w:name w:val="标题 4 字符"/>
    <w:basedOn w:val="25"/>
    <w:link w:val="5"/>
    <w:qFormat/>
    <w:uiPriority w:val="9"/>
    <w:rPr>
      <w:rFonts w:asciiTheme="majorHAnsi" w:hAnsiTheme="majorHAnsi" w:eastAsiaTheme="majorEastAsia" w:cstheme="majorBidi"/>
      <w:b/>
      <w:bCs/>
      <w:kern w:val="2"/>
      <w:sz w:val="28"/>
      <w:szCs w:val="28"/>
    </w:rPr>
  </w:style>
  <w:style w:type="character" w:customStyle="1" w:styleId="36">
    <w:name w:val="标题 5 字符"/>
    <w:basedOn w:val="25"/>
    <w:link w:val="6"/>
    <w:qFormat/>
    <w:uiPriority w:val="9"/>
    <w:rPr>
      <w:rFonts w:asciiTheme="minorHAnsi" w:hAnsiTheme="minorHAnsi" w:eastAsiaTheme="minorEastAsia" w:cstheme="minorBidi"/>
      <w:b/>
      <w:bCs/>
      <w:kern w:val="2"/>
      <w:sz w:val="28"/>
      <w:szCs w:val="28"/>
    </w:rPr>
  </w:style>
  <w:style w:type="character" w:customStyle="1" w:styleId="37">
    <w:name w:val="标题 6 字符"/>
    <w:basedOn w:val="25"/>
    <w:link w:val="7"/>
    <w:qFormat/>
    <w:uiPriority w:val="9"/>
    <w:rPr>
      <w:rFonts w:asciiTheme="majorHAnsi" w:hAnsiTheme="majorHAnsi" w:eastAsiaTheme="majorEastAsia" w:cstheme="majorBidi"/>
      <w:b/>
      <w:bCs/>
      <w:kern w:val="2"/>
      <w:sz w:val="24"/>
      <w:szCs w:val="24"/>
    </w:rPr>
  </w:style>
  <w:style w:type="character" w:customStyle="1" w:styleId="38">
    <w:name w:val="标题 7 字符"/>
    <w:basedOn w:val="25"/>
    <w:link w:val="8"/>
    <w:qFormat/>
    <w:uiPriority w:val="9"/>
    <w:rPr>
      <w:rFonts w:asciiTheme="minorHAnsi" w:hAnsiTheme="minorHAnsi" w:eastAsiaTheme="minorEastAsia" w:cstheme="minorBidi"/>
      <w:b/>
      <w:bCs/>
      <w:kern w:val="2"/>
      <w:sz w:val="24"/>
      <w:szCs w:val="24"/>
    </w:rPr>
  </w:style>
  <w:style w:type="character" w:customStyle="1" w:styleId="39">
    <w:name w:val="标题 8 字符"/>
    <w:basedOn w:val="25"/>
    <w:link w:val="9"/>
    <w:qFormat/>
    <w:uiPriority w:val="9"/>
    <w:rPr>
      <w:rFonts w:asciiTheme="majorHAnsi" w:hAnsiTheme="majorHAnsi" w:eastAsiaTheme="majorEastAsia" w:cstheme="majorBidi"/>
      <w:kern w:val="2"/>
      <w:sz w:val="24"/>
      <w:szCs w:val="24"/>
    </w:rPr>
  </w:style>
  <w:style w:type="character" w:customStyle="1" w:styleId="40">
    <w:name w:val="标题 9 字符"/>
    <w:basedOn w:val="25"/>
    <w:link w:val="10"/>
    <w:qFormat/>
    <w:uiPriority w:val="9"/>
    <w:rPr>
      <w:rFonts w:asciiTheme="majorHAnsi" w:hAnsiTheme="majorHAnsi" w:eastAsiaTheme="majorEastAsia" w:cstheme="majorBidi"/>
      <w:kern w:val="2"/>
      <w:sz w:val="21"/>
      <w:szCs w:val="21"/>
    </w:rPr>
  </w:style>
  <w:style w:type="paragraph" w:customStyle="1" w:styleId="41">
    <w:name w:val="列出段落1"/>
    <w:basedOn w:val="1"/>
    <w:qFormat/>
    <w:uiPriority w:val="34"/>
    <w:pPr>
      <w:ind w:firstLine="420" w:firstLineChars="200"/>
    </w:pPr>
  </w:style>
  <w:style w:type="paragraph" w:customStyle="1" w:styleId="42">
    <w:name w:val="正文1"/>
    <w:link w:val="64"/>
    <w:qFormat/>
    <w:uiPriority w:val="0"/>
    <w:pPr>
      <w:jc w:val="both"/>
    </w:pPr>
    <w:rPr>
      <w:rFonts w:ascii="Times New Roman" w:hAnsi="Times New Roman" w:eastAsia="宋体" w:cs="Times New Roman"/>
      <w:kern w:val="2"/>
      <w:sz w:val="21"/>
      <w:szCs w:val="21"/>
      <w:lang w:val="en-US" w:eastAsia="zh-CN" w:bidi="ar-SA"/>
    </w:rPr>
  </w:style>
  <w:style w:type="paragraph" w:customStyle="1" w:styleId="43">
    <w:name w:val="TOC 标题1"/>
    <w:basedOn w:val="2"/>
    <w:next w:val="1"/>
    <w:unhideWhenUsed/>
    <w:qFormat/>
    <w:uiPriority w:val="39"/>
    <w:pPr>
      <w:widowControl/>
      <w:numPr>
        <w:numId w:val="0"/>
      </w:numPr>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4">
    <w:name w:val="页眉 字符"/>
    <w:basedOn w:val="25"/>
    <w:link w:val="20"/>
    <w:qFormat/>
    <w:uiPriority w:val="99"/>
    <w:rPr>
      <w:sz w:val="18"/>
      <w:szCs w:val="18"/>
    </w:rPr>
  </w:style>
  <w:style w:type="character" w:customStyle="1" w:styleId="45">
    <w:name w:val="页脚 字符"/>
    <w:basedOn w:val="25"/>
    <w:link w:val="19"/>
    <w:qFormat/>
    <w:uiPriority w:val="99"/>
    <w:rPr>
      <w:sz w:val="18"/>
      <w:szCs w:val="18"/>
    </w:rPr>
  </w:style>
  <w:style w:type="table" w:customStyle="1" w:styleId="46">
    <w:name w:val="网格表 2 - 着色 11"/>
    <w:basedOn w:val="30"/>
    <w:qFormat/>
    <w:uiPriority w:val="47"/>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8EAADB" w:themeColor="accent1" w:themeTint="99" w:sz="12" w:space="0"/>
          <w:insideH w:val="nil"/>
          <w:insideV w:val="nil"/>
        </w:tcBorders>
        <w:shd w:val="clear" w:color="auto" w:fill="FFFFFF" w:themeFill="background1"/>
      </w:tcPr>
    </w:tblStylePr>
    <w:tblStylePr w:type="lastRow">
      <w:rPr>
        <w:b/>
        <w:bCs/>
      </w:rPr>
      <w:tcPr>
        <w:tcBorders>
          <w:top w:val="double" w:color="8EAADB"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7">
    <w:name w:val="网格型浅色1"/>
    <w:basedOn w:val="3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8">
    <w:name w:val="日期 字符"/>
    <w:basedOn w:val="25"/>
    <w:link w:val="16"/>
    <w:semiHidden/>
    <w:qFormat/>
    <w:uiPriority w:val="99"/>
  </w:style>
  <w:style w:type="character" w:customStyle="1" w:styleId="49">
    <w:name w:val="批注文字 字符"/>
    <w:basedOn w:val="25"/>
    <w:link w:val="12"/>
    <w:semiHidden/>
    <w:qFormat/>
    <w:uiPriority w:val="99"/>
  </w:style>
  <w:style w:type="character" w:customStyle="1" w:styleId="50">
    <w:name w:val="批注主题 字符"/>
    <w:basedOn w:val="49"/>
    <w:link w:val="11"/>
    <w:semiHidden/>
    <w:qFormat/>
    <w:uiPriority w:val="99"/>
    <w:rPr>
      <w:b/>
      <w:bCs/>
    </w:rPr>
  </w:style>
  <w:style w:type="character" w:customStyle="1" w:styleId="51">
    <w:name w:val="批注框文本 字符"/>
    <w:basedOn w:val="25"/>
    <w:link w:val="18"/>
    <w:semiHidden/>
    <w:qFormat/>
    <w:uiPriority w:val="99"/>
    <w:rPr>
      <w:sz w:val="18"/>
      <w:szCs w:val="18"/>
    </w:rPr>
  </w:style>
  <w:style w:type="paragraph" w:customStyle="1" w:styleId="52">
    <w:name w:val="标准文件_标准正文"/>
    <w:basedOn w:val="1"/>
    <w:qFormat/>
    <w:uiPriority w:val="0"/>
    <w:pPr>
      <w:widowControl/>
      <w:adjustRightInd w:val="0"/>
      <w:snapToGrid w:val="0"/>
      <w:spacing w:line="300" w:lineRule="auto"/>
      <w:ind w:firstLine="200" w:firstLineChars="200"/>
      <w:jc w:val="left"/>
    </w:pPr>
    <w:rPr>
      <w:rFonts w:ascii="Times New Roman" w:hAnsi="Times New Roman" w:eastAsia="宋体" w:cs="Times New Roman"/>
      <w:color w:val="000000"/>
      <w:spacing w:val="2"/>
      <w:sz w:val="24"/>
      <w:szCs w:val="24"/>
    </w:rPr>
  </w:style>
  <w:style w:type="paragraph" w:customStyle="1" w:styleId="53">
    <w:name w:val="样式 首行缩进:  2 字符4"/>
    <w:basedOn w:val="1"/>
    <w:qFormat/>
    <w:uiPriority w:val="0"/>
    <w:pPr>
      <w:spacing w:before="120" w:after="100" w:afterAutospacing="1"/>
      <w:ind w:firstLine="480" w:firstLineChars="200"/>
    </w:pPr>
    <w:rPr>
      <w:rFonts w:ascii="宋体" w:hAnsi="宋体" w:eastAsia="宋体" w:cs="宋体"/>
      <w:sz w:val="24"/>
      <w:szCs w:val="24"/>
    </w:rPr>
  </w:style>
  <w:style w:type="paragraph" w:customStyle="1" w:styleId="54">
    <w:name w:val="段"/>
    <w:basedOn w:val="1"/>
    <w:qFormat/>
    <w:uiPriority w:val="0"/>
    <w:pPr>
      <w:widowControl/>
      <w:autoSpaceDE w:val="0"/>
      <w:autoSpaceDN w:val="0"/>
      <w:spacing w:line="240" w:lineRule="auto"/>
      <w:ind w:firstLine="200" w:firstLineChars="200"/>
    </w:pPr>
    <w:rPr>
      <w:rFonts w:ascii="宋体" w:hAnsi="宋体" w:eastAsia="宋体" w:cs="宋体"/>
      <w:kern w:val="0"/>
    </w:rPr>
  </w:style>
  <w:style w:type="paragraph" w:customStyle="1" w:styleId="55">
    <w:name w:val="列出段落2"/>
    <w:basedOn w:val="1"/>
    <w:qFormat/>
    <w:uiPriority w:val="99"/>
    <w:pPr>
      <w:ind w:firstLine="420" w:firstLineChars="200"/>
    </w:pPr>
  </w:style>
  <w:style w:type="character" w:customStyle="1" w:styleId="56">
    <w:name w:val="font31"/>
    <w:basedOn w:val="25"/>
    <w:qFormat/>
    <w:uiPriority w:val="0"/>
    <w:rPr>
      <w:rFonts w:hint="eastAsia" w:ascii="宋体" w:hAnsi="宋体" w:eastAsia="宋体" w:cs="宋体"/>
      <w:b/>
      <w:color w:val="000000"/>
      <w:sz w:val="21"/>
      <w:szCs w:val="21"/>
      <w:u w:val="none"/>
    </w:rPr>
  </w:style>
  <w:style w:type="character" w:customStyle="1" w:styleId="57">
    <w:name w:val="font21"/>
    <w:basedOn w:val="25"/>
    <w:qFormat/>
    <w:uiPriority w:val="0"/>
    <w:rPr>
      <w:rFonts w:hint="eastAsia" w:ascii="宋体" w:hAnsi="宋体" w:eastAsia="宋体" w:cs="宋体"/>
      <w:color w:val="000000"/>
      <w:sz w:val="21"/>
      <w:szCs w:val="21"/>
      <w:u w:val="none"/>
    </w:rPr>
  </w:style>
  <w:style w:type="character" w:customStyle="1" w:styleId="58">
    <w:name w:val="font11"/>
    <w:basedOn w:val="25"/>
    <w:qFormat/>
    <w:uiPriority w:val="0"/>
    <w:rPr>
      <w:rFonts w:hint="eastAsia" w:ascii="宋体" w:hAnsi="宋体" w:eastAsia="宋体" w:cs="宋体"/>
      <w:color w:val="FF0000"/>
      <w:sz w:val="21"/>
      <w:szCs w:val="21"/>
      <w:u w:val="none"/>
    </w:rPr>
  </w:style>
  <w:style w:type="paragraph" w:customStyle="1" w:styleId="59">
    <w:name w:val="List Paragraph"/>
    <w:basedOn w:val="1"/>
    <w:qFormat/>
    <w:uiPriority w:val="34"/>
    <w:pPr>
      <w:ind w:firstLine="420" w:firstLineChars="200"/>
    </w:pPr>
  </w:style>
  <w:style w:type="character" w:customStyle="1" w:styleId="60">
    <w:name w:val="正文文本 字符"/>
    <w:basedOn w:val="25"/>
    <w:link w:val="14"/>
    <w:qFormat/>
    <w:uiPriority w:val="1"/>
    <w:rPr>
      <w:rFonts w:ascii="宋体" w:hAnsi="宋体" w:cstheme="minorBidi"/>
      <w:sz w:val="24"/>
      <w:szCs w:val="24"/>
      <w:lang w:eastAsia="en-US"/>
    </w:rPr>
  </w:style>
  <w:style w:type="paragraph" w:customStyle="1" w:styleId="61">
    <w:name w:val="正文加粗"/>
    <w:basedOn w:val="42"/>
    <w:next w:val="42"/>
    <w:link w:val="62"/>
    <w:qFormat/>
    <w:uiPriority w:val="0"/>
    <w:pPr>
      <w:numPr>
        <w:ilvl w:val="0"/>
        <w:numId w:val="2"/>
      </w:numPr>
      <w:spacing w:line="360" w:lineRule="auto"/>
      <w:ind w:left="993"/>
      <w:jc w:val="left"/>
    </w:pPr>
    <w:rPr>
      <w:rFonts w:ascii="宋体" w:hAnsi="宋体"/>
      <w:b/>
      <w:bCs/>
      <w:kern w:val="0"/>
      <w:sz w:val="24"/>
      <w:lang w:val="zh-CN" w:eastAsia="zh-CN"/>
    </w:rPr>
  </w:style>
  <w:style w:type="character" w:customStyle="1" w:styleId="62">
    <w:name w:val="正文加粗 Char"/>
    <w:link w:val="61"/>
    <w:qFormat/>
    <w:uiPriority w:val="0"/>
    <w:rPr>
      <w:rFonts w:ascii="宋体" w:hAnsi="宋体"/>
      <w:b/>
      <w:bCs/>
      <w:sz w:val="24"/>
      <w:szCs w:val="21"/>
      <w:lang w:val="zh-CN" w:eastAsia="zh-CN"/>
    </w:rPr>
  </w:style>
  <w:style w:type="paragraph" w:customStyle="1" w:styleId="63">
    <w:name w:val="样式 段落缩进2 小四 + 段前: 15.6 磅"/>
    <w:basedOn w:val="1"/>
    <w:qFormat/>
    <w:uiPriority w:val="0"/>
    <w:pPr>
      <w:spacing w:before="312"/>
      <w:ind w:firstLine="480" w:firstLineChars="200"/>
    </w:pPr>
    <w:rPr>
      <w:rFonts w:ascii="宋体" w:hAnsi="宋体" w:eastAsia="宋体" w:cs="Times New Roman"/>
      <w:sz w:val="24"/>
      <w:szCs w:val="20"/>
    </w:rPr>
  </w:style>
  <w:style w:type="character" w:customStyle="1" w:styleId="64">
    <w:name w:val="正文1 Char"/>
    <w:link w:val="42"/>
    <w:qFormat/>
    <w:uiPriority w:val="0"/>
    <w:rPr>
      <w:kern w:val="2"/>
      <w:sz w:val="21"/>
      <w:szCs w:val="21"/>
    </w:rPr>
  </w:style>
  <w:style w:type="character" w:customStyle="1" w:styleId="65">
    <w:name w:val="脚注文本 字符"/>
    <w:basedOn w:val="25"/>
    <w:link w:val="22"/>
    <w:semiHidden/>
    <w:qFormat/>
    <w:uiPriority w:val="99"/>
    <w:rPr>
      <w:rFonts w:asciiTheme="minorHAnsi" w:hAnsiTheme="minorHAnsi" w:eastAsiaTheme="minorEastAsia" w:cstheme="minorBidi"/>
      <w:kern w:val="2"/>
      <w:sz w:val="18"/>
      <w:szCs w:val="18"/>
    </w:rPr>
  </w:style>
  <w:style w:type="character" w:customStyle="1" w:styleId="66">
    <w:name w:val="尾注文本 字符"/>
    <w:basedOn w:val="25"/>
    <w:link w:val="17"/>
    <w:semiHidden/>
    <w:qFormat/>
    <w:uiPriority w:val="99"/>
    <w:rPr>
      <w:rFonts w:asciiTheme="minorHAnsi" w:hAnsiTheme="minorHAnsi" w:eastAsiaTheme="minorEastAsia" w:cstheme="minorBidi"/>
      <w:kern w:val="2"/>
      <w:sz w:val="21"/>
      <w:szCs w:val="21"/>
    </w:rPr>
  </w:style>
  <w:style w:type="paragraph" w:customStyle="1" w:styleId="67">
    <w:name w:val="Revision"/>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68">
    <w:name w:val="目录标题（深信服科技）"/>
    <w:basedOn w:val="69"/>
    <w:qFormat/>
    <w:uiPriority w:val="0"/>
    <w:pPr>
      <w:numPr>
        <w:numId w:val="0"/>
      </w:numPr>
      <w:tabs>
        <w:tab w:val="left" w:pos="403"/>
      </w:tabs>
      <w:spacing w:line="240" w:lineRule="auto"/>
      <w:jc w:val="center"/>
    </w:pPr>
    <w:rPr>
      <w:bCs w:val="0"/>
      <w:kern w:val="0"/>
      <w:sz w:val="36"/>
      <w:szCs w:val="36"/>
      <w:lang w:val="zh-CN"/>
    </w:rPr>
  </w:style>
  <w:style w:type="paragraph" w:customStyle="1" w:styleId="69">
    <w:name w:val="TOC Heading"/>
    <w:basedOn w:val="2"/>
    <w:next w:val="1"/>
    <w:unhideWhenUsed/>
    <w:qFormat/>
    <w:uiPriority w:val="39"/>
    <w:pPr>
      <w:numPr>
        <w:numId w:val="3"/>
      </w:numPr>
      <w:spacing w:line="578" w:lineRule="atLeast"/>
      <w:outlineLvl w:val="9"/>
    </w:pPr>
  </w:style>
  <w:style w:type="paragraph" w:customStyle="1" w:styleId="70">
    <w:name w:val="标题 2（深信服）"/>
    <w:basedOn w:val="71"/>
    <w:next w:val="72"/>
    <w:qFormat/>
    <w:uiPriority w:val="0"/>
    <w:pPr>
      <w:keepNext w:val="0"/>
      <w:keepLines w:val="0"/>
      <w:pageBreakBefore w:val="0"/>
      <w:numPr>
        <w:ilvl w:val="1"/>
        <w:numId w:val="4"/>
      </w:numPr>
      <w:tabs>
        <w:tab w:val="left" w:pos="403"/>
      </w:tabs>
      <w:spacing w:before="156" w:beforeLines="50" w:after="156" w:afterLines="50"/>
    </w:pPr>
    <w:rPr>
      <w:sz w:val="30"/>
    </w:rPr>
  </w:style>
  <w:style w:type="paragraph" w:customStyle="1" w:styleId="71">
    <w:name w:val="标题 1（深信服）"/>
    <w:basedOn w:val="2"/>
    <w:next w:val="72"/>
    <w:qFormat/>
    <w:uiPriority w:val="0"/>
  </w:style>
  <w:style w:type="paragraph" w:customStyle="1" w:styleId="72">
    <w:name w:val="正文（深信服科技）"/>
    <w:qFormat/>
    <w:uiPriority w:val="0"/>
    <w:pPr>
      <w:adjustRightInd w:val="0"/>
      <w:snapToGrid w:val="0"/>
      <w:spacing w:line="360" w:lineRule="auto"/>
      <w:ind w:firstLine="480" w:firstLineChars="200"/>
      <w:jc w:val="both"/>
    </w:pPr>
    <w:rPr>
      <w:rFonts w:ascii="Times New Roman" w:hAnsi="Times New Roman" w:eastAsia="宋体" w:cs="Times New Roman"/>
      <w:kern w:val="0"/>
      <w:sz w:val="24"/>
      <w:szCs w:val="21"/>
      <w:lang w:val="en-US" w:eastAsia="zh-CN" w:bidi="ar-SA"/>
    </w:rPr>
  </w:style>
  <w:style w:type="paragraph" w:customStyle="1" w:styleId="73">
    <w:name w:val="p0"/>
    <w:basedOn w:val="1"/>
    <w:qFormat/>
    <w:uiPriority w:val="0"/>
    <w:rPr>
      <w:rFonts w:ascii="Times New Roman" w:hAnsi="Times New Roman" w:eastAsia="宋体"/>
      <w:sz w:val="21"/>
      <w:szCs w:val="21"/>
    </w:rPr>
  </w:style>
  <w:style w:type="paragraph" w:customStyle="1" w:styleId="74">
    <w:name w:val="WPSOffice手动目录 1"/>
    <w:qFormat/>
    <w:uiPriority w:val="0"/>
    <w:pPr>
      <w:ind w:leftChars="0"/>
    </w:pPr>
    <w:rPr>
      <w:rFonts w:ascii="Times New Roman" w:hAnsi="Times New Roman" w:eastAsia="宋体" w:cs="Times New Roman"/>
      <w:sz w:val="20"/>
      <w:szCs w:val="20"/>
    </w:rPr>
  </w:style>
  <w:style w:type="paragraph" w:customStyle="1" w:styleId="75">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GIF"/><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471c1cd-dfc3-45c8-81ad-d24324acb382}"/>
        <w:style w:val=""/>
        <w:category>
          <w:name w:val="常规"/>
          <w:gallery w:val="placeholder"/>
        </w:category>
        <w:types>
          <w:type w:val="bbPlcHdr"/>
        </w:types>
        <w:behaviors>
          <w:behavior w:val="content"/>
        </w:behaviors>
        <w:description w:val=""/>
        <w:guid w:val="{b471c1cd-dfc3-45c8-81ad-d24324acb382}"/>
      </w:docPartPr>
      <w:docPartBody>
        <w:p>
          <w:pPr>
            <w:pStyle w:val="2"/>
          </w:pPr>
          <w:r>
            <w:rPr>
              <w:rStyle w:val="3"/>
            </w:rPr>
            <w:t>单击或点击此处输入文字。</w:t>
          </w:r>
        </w:p>
      </w:docPartBody>
    </w:docPart>
    <w:docPart>
      <w:docPartPr>
        <w:name w:val="{e153d763-4d4c-4e14-a19e-0967de6c71f3}"/>
        <w:style w:val=""/>
        <w:category>
          <w:name w:val="常规"/>
          <w:gallery w:val="placeholder"/>
        </w:category>
        <w:types>
          <w:type w:val="bbPlcHdr"/>
        </w:types>
        <w:behaviors>
          <w:behavior w:val="content"/>
        </w:behaviors>
        <w:description w:val=""/>
        <w:guid w:val="{e153d763-4d4c-4e14-a19e-0967de6c71f3}"/>
      </w:docPartPr>
      <w:docPartBody>
        <w:p>
          <w:r>
            <w:rPr>
              <w:color w:val="808080"/>
            </w:rPr>
            <w:t>单击此处输入文字。</w:t>
          </w:r>
        </w:p>
      </w:docPartBody>
    </w:docPart>
    <w:docPart>
      <w:docPartPr>
        <w:name w:val="{b5c0c62c-859b-4786-a57d-66fe83b6e062}"/>
        <w:style w:val=""/>
        <w:category>
          <w:name w:val="常规"/>
          <w:gallery w:val="placeholder"/>
        </w:category>
        <w:types>
          <w:type w:val="bbPlcHdr"/>
        </w:types>
        <w:behaviors>
          <w:behavior w:val="content"/>
        </w:behaviors>
        <w:description w:val=""/>
        <w:guid w:val="{b5c0c62c-859b-4786-a57d-66fe83b6e062}"/>
      </w:docPartPr>
      <w:docPartBody>
        <w:p>
          <w:r>
            <w:rPr>
              <w:color w:val="808080"/>
            </w:rPr>
            <w:t>单击此处输入文字。</w:t>
          </w:r>
        </w:p>
      </w:docPartBody>
    </w:docPart>
    <w:docPart>
      <w:docPartPr>
        <w:name w:val="{c4f430a6-4936-4c44-81e2-f8f71e25ba51}"/>
        <w:style w:val=""/>
        <w:category>
          <w:name w:val="常规"/>
          <w:gallery w:val="placeholder"/>
        </w:category>
        <w:types>
          <w:type w:val="bbPlcHdr"/>
        </w:types>
        <w:behaviors>
          <w:behavior w:val="content"/>
        </w:behaviors>
        <w:description w:val=""/>
        <w:guid w:val="{c4f430a6-4936-4c44-81e2-f8f71e25ba51}"/>
      </w:docPartPr>
      <w:docPartBody>
        <w:p>
          <w:r>
            <w:rPr>
              <w:color w:val="808080"/>
            </w:rPr>
            <w:t>单击此处输入文字。</w:t>
          </w:r>
        </w:p>
      </w:docPartBody>
    </w:docPart>
    <w:docPart>
      <w:docPartPr>
        <w:name w:val="{b4e77f05-58ef-4731-a10e-d93a6c206479}"/>
        <w:style w:val=""/>
        <w:category>
          <w:name w:val="常规"/>
          <w:gallery w:val="placeholder"/>
        </w:category>
        <w:types>
          <w:type w:val="bbPlcHdr"/>
        </w:types>
        <w:behaviors>
          <w:behavior w:val="content"/>
        </w:behaviors>
        <w:description w:val=""/>
        <w:guid w:val="{b4e77f05-58ef-4731-a10e-d93a6c206479}"/>
      </w:docPartPr>
      <w:docPartBody>
        <w:p>
          <w:r>
            <w:rPr>
              <w:color w:val="808080"/>
            </w:rPr>
            <w:t>单击此处输入文字。</w:t>
          </w:r>
        </w:p>
      </w:docPartBody>
    </w:docPart>
    <w:docPart>
      <w:docPartPr>
        <w:name w:val="{787434d9-2acc-4424-8966-fa4e51c9c5d2}"/>
        <w:style w:val=""/>
        <w:category>
          <w:name w:val="常规"/>
          <w:gallery w:val="placeholder"/>
        </w:category>
        <w:types>
          <w:type w:val="bbPlcHdr"/>
        </w:types>
        <w:behaviors>
          <w:behavior w:val="content"/>
        </w:behaviors>
        <w:description w:val=""/>
        <w:guid w:val="{787434d9-2acc-4424-8966-fa4e51c9c5d2}"/>
      </w:docPartPr>
      <w:docPartBody>
        <w:p>
          <w:r>
            <w:rPr>
              <w:color w:val="808080"/>
            </w:rPr>
            <w:t>单击此处输入文字。</w:t>
          </w:r>
        </w:p>
      </w:docPartBody>
    </w:docPart>
    <w:docPart>
      <w:docPartPr>
        <w:name w:val="{8fad0629-27f1-483e-be42-a5ba5ce83fe2}"/>
        <w:style w:val=""/>
        <w:category>
          <w:name w:val="常规"/>
          <w:gallery w:val="placeholder"/>
        </w:category>
        <w:types>
          <w:type w:val="bbPlcHdr"/>
        </w:types>
        <w:behaviors>
          <w:behavior w:val="content"/>
        </w:behaviors>
        <w:description w:val=""/>
        <w:guid w:val="{8fad0629-27f1-483e-be42-a5ba5ce83fe2}"/>
      </w:docPartPr>
      <w:docPartBody>
        <w:p>
          <w:r>
            <w:rPr>
              <w:color w:val="808080"/>
            </w:rPr>
            <w:t>单击此处输入文字。</w:t>
          </w:r>
        </w:p>
      </w:docPartBody>
    </w:docPart>
    <w:docPart>
      <w:docPartPr>
        <w:name w:val="{99aefb63-971e-4d76-b9c8-c895f629daaf}"/>
        <w:style w:val=""/>
        <w:category>
          <w:name w:val="常规"/>
          <w:gallery w:val="placeholder"/>
        </w:category>
        <w:types>
          <w:type w:val="bbPlcHdr"/>
        </w:types>
        <w:behaviors>
          <w:behavior w:val="content"/>
        </w:behaviors>
        <w:description w:val=""/>
        <w:guid w:val="{99aefb63-971e-4d76-b9c8-c895f629daaf}"/>
      </w:docPartPr>
      <w:docPartBody>
        <w:p>
          <w:r>
            <w:rPr>
              <w:color w:val="808080"/>
            </w:rPr>
            <w:t>单击此处输入文字。</w:t>
          </w:r>
        </w:p>
      </w:docPartBody>
    </w:docPart>
    <w:docPart>
      <w:docPartPr>
        <w:name w:val="{30208444-259e-471f-a7b8-58efd109e725}"/>
        <w:style w:val=""/>
        <w:category>
          <w:name w:val="常规"/>
          <w:gallery w:val="placeholder"/>
        </w:category>
        <w:types>
          <w:type w:val="bbPlcHdr"/>
        </w:types>
        <w:behaviors>
          <w:behavior w:val="content"/>
        </w:behaviors>
        <w:description w:val=""/>
        <w:guid w:val="{30208444-259e-471f-a7b8-58efd109e725}"/>
      </w:docPartPr>
      <w:docPartBody>
        <w:p>
          <w:r>
            <w:rPr>
              <w:color w:val="808080"/>
            </w:rPr>
            <w:t>单击此处输入文字。</w:t>
          </w:r>
        </w:p>
      </w:docPartBody>
    </w:docPart>
    <w:docPart>
      <w:docPartPr>
        <w:name w:val="{d6ceae0e-603c-40b1-b78d-986a9bd2ac7a}"/>
        <w:style w:val=""/>
        <w:category>
          <w:name w:val="常规"/>
          <w:gallery w:val="placeholder"/>
        </w:category>
        <w:types>
          <w:type w:val="bbPlcHdr"/>
        </w:types>
        <w:behaviors>
          <w:behavior w:val="content"/>
        </w:behaviors>
        <w:description w:val=""/>
        <w:guid w:val="{d6ceae0e-603c-40b1-b78d-986a9bd2ac7a}"/>
      </w:docPartPr>
      <w:docPartBody>
        <w:p>
          <w:r>
            <w:rPr>
              <w:color w:val="808080"/>
            </w:rPr>
            <w:t>单击此处输入文字。</w:t>
          </w:r>
        </w:p>
      </w:docPartBody>
    </w:docPart>
    <w:docPart>
      <w:docPartPr>
        <w:name w:val="{48bec156-7a3a-4560-87d4-94d1d6cbb5bc}"/>
        <w:style w:val=""/>
        <w:category>
          <w:name w:val="常规"/>
          <w:gallery w:val="placeholder"/>
        </w:category>
        <w:types>
          <w:type w:val="bbPlcHdr"/>
        </w:types>
        <w:behaviors>
          <w:behavior w:val="content"/>
        </w:behaviors>
        <w:description w:val=""/>
        <w:guid w:val="{48bec156-7a3a-4560-87d4-94d1d6cbb5bc}"/>
      </w:docPartPr>
      <w:docPartBody>
        <w:p>
          <w:r>
            <w:rPr>
              <w:color w:val="808080"/>
            </w:rPr>
            <w:t>单击此处输入文字。</w:t>
          </w:r>
        </w:p>
      </w:docPartBody>
    </w:docPart>
    <w:docPart>
      <w:docPartPr>
        <w:name w:val="{bdb39c1d-cadf-4d70-99bb-4256c2bdb629}"/>
        <w:style w:val=""/>
        <w:category>
          <w:name w:val="常规"/>
          <w:gallery w:val="placeholder"/>
        </w:category>
        <w:types>
          <w:type w:val="bbPlcHdr"/>
        </w:types>
        <w:behaviors>
          <w:behavior w:val="content"/>
        </w:behaviors>
        <w:description w:val=""/>
        <w:guid w:val="{bdb39c1d-cadf-4d70-99bb-4256c2bdb629}"/>
      </w:docPartPr>
      <w:docPartBody>
        <w:p>
          <w:r>
            <w:rPr>
              <w:color w:val="808080"/>
            </w:rPr>
            <w:t>单击此处输入文字。</w:t>
          </w:r>
        </w:p>
      </w:docPartBody>
    </w:docPart>
    <w:docPart>
      <w:docPartPr>
        <w:name w:val="{4d15ae03-0ac7-426b-939d-4423a0ae1d17}"/>
        <w:style w:val=""/>
        <w:category>
          <w:name w:val="常规"/>
          <w:gallery w:val="placeholder"/>
        </w:category>
        <w:types>
          <w:type w:val="bbPlcHdr"/>
        </w:types>
        <w:behaviors>
          <w:behavior w:val="content"/>
        </w:behaviors>
        <w:description w:val=""/>
        <w:guid w:val="{4d15ae03-0ac7-426b-939d-4423a0ae1d17}"/>
      </w:docPartPr>
      <w:docPartBody>
        <w:p>
          <w:r>
            <w:rPr>
              <w:color w:val="808080"/>
            </w:rPr>
            <w:t>单击此处输入文字。</w:t>
          </w:r>
        </w:p>
      </w:docPartBody>
    </w:docPart>
    <w:docPart>
      <w:docPartPr>
        <w:name w:val="{98762a40-6355-4005-ae59-e7e84d61dbfe}"/>
        <w:style w:val=""/>
        <w:category>
          <w:name w:val="常规"/>
          <w:gallery w:val="placeholder"/>
        </w:category>
        <w:types>
          <w:type w:val="bbPlcHdr"/>
        </w:types>
        <w:behaviors>
          <w:behavior w:val="content"/>
        </w:behaviors>
        <w:description w:val=""/>
        <w:guid w:val="{98762a40-6355-4005-ae59-e7e84d61dbfe}"/>
      </w:docPartPr>
      <w:docPartBody>
        <w:p>
          <w:r>
            <w:rPr>
              <w:color w:val="808080"/>
            </w:rPr>
            <w:t>单击此处输入文字。</w:t>
          </w:r>
        </w:p>
      </w:docPartBody>
    </w:docPart>
    <w:docPart>
      <w:docPartPr>
        <w:name w:val="{f4394262-f801-4010-acc2-e59e68ae2cc5}"/>
        <w:style w:val=""/>
        <w:category>
          <w:name w:val="常规"/>
          <w:gallery w:val="placeholder"/>
        </w:category>
        <w:types>
          <w:type w:val="bbPlcHdr"/>
        </w:types>
        <w:behaviors>
          <w:behavior w:val="content"/>
        </w:behaviors>
        <w:description w:val=""/>
        <w:guid w:val="{f4394262-f801-4010-acc2-e59e68ae2cc5}"/>
      </w:docPartPr>
      <w:docPartBody>
        <w:p>
          <w:r>
            <w:rPr>
              <w:color w:val="808080"/>
            </w:rPr>
            <w:t>单击此处输入文字。</w:t>
          </w:r>
        </w:p>
      </w:docPartBody>
    </w:docPart>
    <w:docPart>
      <w:docPartPr>
        <w:name w:val="{39686476-477e-4a2f-9b84-f78b51feea3b}"/>
        <w:style w:val=""/>
        <w:category>
          <w:name w:val="常规"/>
          <w:gallery w:val="placeholder"/>
        </w:category>
        <w:types>
          <w:type w:val="bbPlcHdr"/>
        </w:types>
        <w:behaviors>
          <w:behavior w:val="content"/>
        </w:behaviors>
        <w:description w:val=""/>
        <w:guid w:val="{39686476-477e-4a2f-9b84-f78b51feea3b}"/>
      </w:docPartPr>
      <w:docPartBody>
        <w:p>
          <w:r>
            <w:rPr>
              <w:color w:val="808080"/>
            </w:rPr>
            <w:t>单击此处输入文字。</w:t>
          </w:r>
        </w:p>
      </w:docPartBody>
    </w:docPart>
    <w:docPart>
      <w:docPartPr>
        <w:name w:val="{cd656291-8e98-446b-a399-9213a5126159}"/>
        <w:style w:val=""/>
        <w:category>
          <w:name w:val="常规"/>
          <w:gallery w:val="placeholder"/>
        </w:category>
        <w:types>
          <w:type w:val="bbPlcHdr"/>
        </w:types>
        <w:behaviors>
          <w:behavior w:val="content"/>
        </w:behaviors>
        <w:description w:val=""/>
        <w:guid w:val="{cd656291-8e98-446b-a399-9213a5126159}"/>
      </w:docPartPr>
      <w:docPartBody>
        <w:p>
          <w:r>
            <w:rPr>
              <w:color w:val="808080"/>
            </w:rPr>
            <w:t>单击此处输入文字。</w:t>
          </w:r>
        </w:p>
      </w:docPartBody>
    </w:docPart>
    <w:docPart>
      <w:docPartPr>
        <w:name w:val="{b929fe6f-c951-4f9f-90a2-5f6e18f63448}"/>
        <w:style w:val=""/>
        <w:category>
          <w:name w:val="常规"/>
          <w:gallery w:val="placeholder"/>
        </w:category>
        <w:types>
          <w:type w:val="bbPlcHdr"/>
        </w:types>
        <w:behaviors>
          <w:behavior w:val="content"/>
        </w:behaviors>
        <w:description w:val=""/>
        <w:guid w:val="{b929fe6f-c951-4f9f-90a2-5f6e18f63448}"/>
      </w:docPartPr>
      <w:docPartBody>
        <w:p>
          <w:r>
            <w:rPr>
              <w:color w:val="808080"/>
            </w:rPr>
            <w:t>单击此处输入文字。</w:t>
          </w:r>
        </w:p>
      </w:docPartBody>
    </w:docPart>
    <w:docPart>
      <w:docPartPr>
        <w:name w:val="{0aa7bdf1-38ea-438b-8e68-93d4c243b396}"/>
        <w:style w:val=""/>
        <w:category>
          <w:name w:val="常规"/>
          <w:gallery w:val="placeholder"/>
        </w:category>
        <w:types>
          <w:type w:val="bbPlcHdr"/>
        </w:types>
        <w:behaviors>
          <w:behavior w:val="content"/>
        </w:behaviors>
        <w:description w:val=""/>
        <w:guid w:val="{0aa7bdf1-38ea-438b-8e68-93d4c243b396}"/>
      </w:docPartPr>
      <w:docPartBody>
        <w:p>
          <w:r>
            <w:rPr>
              <w:color w:val="808080"/>
            </w:rPr>
            <w:t>单击此处输入文字。</w:t>
          </w:r>
        </w:p>
      </w:docPartBody>
    </w:docPart>
    <w:docPart>
      <w:docPartPr>
        <w:name w:val="{5c8bd2bf-754f-44f5-94c1-76e74cbcb37d}"/>
        <w:style w:val=""/>
        <w:category>
          <w:name w:val="常规"/>
          <w:gallery w:val="placeholder"/>
        </w:category>
        <w:types>
          <w:type w:val="bbPlcHdr"/>
        </w:types>
        <w:behaviors>
          <w:behavior w:val="content"/>
        </w:behaviors>
        <w:description w:val=""/>
        <w:guid w:val="{5c8bd2bf-754f-44f5-94c1-76e74cbcb37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黑体">
    <w:altName w:val="汉仪中黑KW"/>
    <w:panose1 w:val="02010609060101010101"/>
    <w:charset w:val="86"/>
    <w:family w:val="modern"/>
    <w:pitch w:val="default"/>
    <w:sig w:usb0="00000000" w:usb1="00000000" w:usb2="00000016" w:usb3="00000000" w:csb0="00040001" w:csb1="00000000"/>
  </w:font>
  <w:font w:name="等线 Light">
    <w:altName w:val="汉仪中等线KW"/>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仿宋">
    <w:altName w:val="方正仿宋_GBK"/>
    <w:panose1 w:val="02010609060101010101"/>
    <w:charset w:val="86"/>
    <w:family w:val="modern"/>
    <w:pitch w:val="default"/>
    <w:sig w:usb0="00000000" w:usb1="00000000" w:usb2="00000016" w:usb3="00000000" w:csb0="00040001"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等线">
    <w:altName w:val="汉仪中等线KW"/>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iPriority="1" w:semiHidden="0" w:name="Default Paragraph Font"/>
  </w:latentStyles>
  <w:style w:type="character" w:default="1" w:styleId="1">
    <w:name w:val="Default Paragraph Font"/>
    <w:unhideWhenUsed/>
    <w:qFormat/>
    <w:uiPriority w:val="1"/>
  </w:style>
  <w:style w:type="paragraph" w:customStyle="1" w:styleId="2">
    <w:name w:val="ED0E3CBC06134A9296B32F568634E5D9"/>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3">
    <w:name w:val="Placeholder Text"/>
    <w:basedOn w:val="1"/>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ScaleCrop>false</ScaleCrop>
  <LinksUpToDate>false</LinksUpToDate>
  <Application>WPS Office_3.3.1.5149_F1E327BC-269C-435d-A152-05C5408002CA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Simon</dc:creator>
  <cp:lastModifiedBy>fanyue</cp:lastModifiedBy>
  <dcterms:modified xsi:type="dcterms:W3CDTF">2021-03-09T11:19:43Z</dcterms:modified>
  <cp:revision>229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2052-3.3.1.5149</vt:lpwstr>
  </property>
</Properties>
</file>